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167" w:rsidRDefault="00942167" w:rsidP="00942167">
      <w:pPr>
        <w:spacing w:after="0"/>
        <w:jc w:val="both"/>
      </w:pPr>
    </w:p>
    <w:p w:rsidR="00425448" w:rsidRDefault="00425448" w:rsidP="00942167">
      <w:pPr>
        <w:spacing w:after="0"/>
        <w:jc w:val="both"/>
      </w:pPr>
    </w:p>
    <w:p w:rsidR="00A43D70" w:rsidRDefault="00A43D70" w:rsidP="00A43D70">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A43D70" w:rsidRPr="000D39D0" w:rsidTr="008A7E5D">
        <w:trPr>
          <w:trHeight w:val="60"/>
        </w:trPr>
        <w:tc>
          <w:tcPr>
            <w:tcW w:w="4145" w:type="dxa"/>
          </w:tcPr>
          <w:p w:rsidR="00A43D70" w:rsidRPr="000D39D0" w:rsidRDefault="00A43D70" w:rsidP="008A7E5D">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A43D70" w:rsidRPr="000D39D0" w:rsidTr="008A7E5D">
        <w:trPr>
          <w:trHeight w:val="60"/>
        </w:trPr>
        <w:tc>
          <w:tcPr>
            <w:tcW w:w="4145" w:type="dxa"/>
          </w:tcPr>
          <w:p w:rsidR="00A43D70" w:rsidRPr="00F10FB1" w:rsidRDefault="00A43D70" w:rsidP="008A7E5D">
            <w:pPr>
              <w:spacing w:after="0" w:line="240" w:lineRule="auto"/>
              <w:jc w:val="both"/>
              <w:rPr>
                <w:rFonts w:asciiTheme="minorHAnsi" w:hAnsiTheme="minorHAnsi"/>
                <w:sz w:val="24"/>
                <w:szCs w:val="24"/>
              </w:rPr>
            </w:pPr>
            <w:r w:rsidRPr="00745E89">
              <w:t>Programa aprobado en el acta 2008-II, 14 de diciembre 11 de 2008.</w:t>
            </w:r>
          </w:p>
        </w:tc>
      </w:tr>
    </w:tbl>
    <w:p w:rsidR="00A43D70" w:rsidRDefault="00A008F6" w:rsidP="00A43D70">
      <w:pPr>
        <w:spacing w:after="0"/>
        <w:ind w:left="360"/>
        <w:jc w:val="both"/>
      </w:pPr>
      <w:r w:rsidRPr="00A008F6">
        <w:rPr>
          <w:noProof/>
          <w:lang w:val="es-CO" w:eastAsia="es-CO"/>
        </w:rPr>
        <w:drawing>
          <wp:inline distT="0" distB="0" distL="0" distR="0">
            <wp:extent cx="946785" cy="1208405"/>
            <wp:effectExtent l="19050" t="0" r="5715" b="0"/>
            <wp:docPr id="1"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942167" w:rsidRDefault="00942167"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8A7E5D">
        <w:tc>
          <w:tcPr>
            <w:tcW w:w="2725" w:type="dxa"/>
          </w:tcPr>
          <w:p w:rsidR="00942167" w:rsidRPr="00A67A6D" w:rsidRDefault="00942167" w:rsidP="008A7E5D">
            <w:pPr>
              <w:spacing w:after="0" w:line="240" w:lineRule="auto"/>
              <w:rPr>
                <w:b/>
              </w:rPr>
            </w:pPr>
            <w:r w:rsidRPr="00A67A6D">
              <w:rPr>
                <w:b/>
              </w:rPr>
              <w:t>NOMBRE DE LA MATERIA</w:t>
            </w:r>
          </w:p>
        </w:tc>
        <w:tc>
          <w:tcPr>
            <w:tcW w:w="5635" w:type="dxa"/>
          </w:tcPr>
          <w:p w:rsidR="00942167" w:rsidRPr="00983E76" w:rsidRDefault="00454C57" w:rsidP="008A7E5D">
            <w:pPr>
              <w:spacing w:after="0" w:line="240" w:lineRule="auto"/>
              <w:rPr>
                <w:rFonts w:asciiTheme="minorHAnsi" w:hAnsiTheme="minorHAnsi"/>
              </w:rPr>
            </w:pPr>
            <w:r>
              <w:rPr>
                <w:rFonts w:asciiTheme="minorHAnsi" w:hAnsiTheme="minorHAnsi"/>
              </w:rPr>
              <w:t>Econometría II</w:t>
            </w:r>
          </w:p>
        </w:tc>
      </w:tr>
      <w:tr w:rsidR="00942167" w:rsidRPr="00A67A6D" w:rsidTr="008A7E5D">
        <w:tc>
          <w:tcPr>
            <w:tcW w:w="2725" w:type="dxa"/>
          </w:tcPr>
          <w:p w:rsidR="00942167" w:rsidRPr="00A67A6D" w:rsidRDefault="00942167" w:rsidP="008A7E5D">
            <w:pPr>
              <w:spacing w:after="0" w:line="240" w:lineRule="auto"/>
              <w:rPr>
                <w:b/>
              </w:rPr>
            </w:pPr>
            <w:r w:rsidRPr="00A67A6D">
              <w:rPr>
                <w:b/>
              </w:rPr>
              <w:t>PROFESOR</w:t>
            </w:r>
          </w:p>
        </w:tc>
        <w:tc>
          <w:tcPr>
            <w:tcW w:w="5635" w:type="dxa"/>
          </w:tcPr>
          <w:p w:rsidR="00942167" w:rsidRPr="00A67A6D" w:rsidRDefault="00454C57" w:rsidP="008A7E5D">
            <w:pPr>
              <w:spacing w:after="0" w:line="240" w:lineRule="auto"/>
            </w:pPr>
            <w:r>
              <w:rPr>
                <w:rFonts w:asciiTheme="minorHAnsi" w:hAnsiTheme="minorHAnsi"/>
              </w:rPr>
              <w:t xml:space="preserve">Luis Gabriel Agudelo, </w:t>
            </w:r>
            <w:r w:rsidRPr="00983E76">
              <w:rPr>
                <w:rFonts w:asciiTheme="minorHAnsi" w:hAnsiTheme="minorHAnsi"/>
              </w:rPr>
              <w:t>Luis Guillermo Pérez P.</w:t>
            </w:r>
          </w:p>
        </w:tc>
      </w:tr>
      <w:tr w:rsidR="00942167" w:rsidRPr="00A67A6D" w:rsidTr="008A7E5D">
        <w:tc>
          <w:tcPr>
            <w:tcW w:w="2725" w:type="dxa"/>
          </w:tcPr>
          <w:p w:rsidR="00942167" w:rsidRPr="00A67A6D" w:rsidRDefault="00942167" w:rsidP="008A7E5D">
            <w:pPr>
              <w:spacing w:after="0" w:line="240" w:lineRule="auto"/>
              <w:rPr>
                <w:b/>
              </w:rPr>
            </w:pPr>
            <w:r w:rsidRPr="00A67A6D">
              <w:rPr>
                <w:b/>
              </w:rPr>
              <w:t>OFICINA</w:t>
            </w:r>
          </w:p>
        </w:tc>
        <w:tc>
          <w:tcPr>
            <w:tcW w:w="5635" w:type="dxa"/>
          </w:tcPr>
          <w:p w:rsidR="00942167" w:rsidRPr="00A67A6D" w:rsidRDefault="00EE3A73" w:rsidP="008A7E5D">
            <w:pPr>
              <w:spacing w:after="0" w:line="240" w:lineRule="auto"/>
            </w:pPr>
            <w:r>
              <w:t>13-415</w:t>
            </w:r>
          </w:p>
        </w:tc>
      </w:tr>
      <w:tr w:rsidR="00942167" w:rsidRPr="00A67A6D" w:rsidTr="008A7E5D">
        <w:tc>
          <w:tcPr>
            <w:tcW w:w="2725" w:type="dxa"/>
          </w:tcPr>
          <w:p w:rsidR="00942167" w:rsidRPr="00A67A6D" w:rsidRDefault="00942167" w:rsidP="008A7E5D">
            <w:pPr>
              <w:spacing w:after="0" w:line="240" w:lineRule="auto"/>
              <w:rPr>
                <w:b/>
              </w:rPr>
            </w:pPr>
            <w:r w:rsidRPr="00A67A6D">
              <w:rPr>
                <w:b/>
              </w:rPr>
              <w:t>HORARIO DE CLASE</w:t>
            </w:r>
          </w:p>
        </w:tc>
        <w:tc>
          <w:tcPr>
            <w:tcW w:w="5635" w:type="dxa"/>
          </w:tcPr>
          <w:p w:rsidR="00942167" w:rsidRPr="00A67A6D" w:rsidRDefault="00942167" w:rsidP="008A7E5D">
            <w:pPr>
              <w:spacing w:after="0" w:line="240" w:lineRule="auto"/>
            </w:pPr>
            <w:r w:rsidRPr="00A67A6D">
              <w:t xml:space="preserve"> </w:t>
            </w:r>
            <w:r w:rsidR="00EE3A73">
              <w:t>L-M-J 6:00 a 8:00 am</w:t>
            </w:r>
          </w:p>
        </w:tc>
      </w:tr>
      <w:tr w:rsidR="00942167" w:rsidRPr="00A67A6D" w:rsidTr="008A7E5D">
        <w:tc>
          <w:tcPr>
            <w:tcW w:w="2725" w:type="dxa"/>
          </w:tcPr>
          <w:p w:rsidR="00942167" w:rsidRPr="00A67A6D" w:rsidRDefault="00942167" w:rsidP="008A7E5D">
            <w:pPr>
              <w:spacing w:after="0" w:line="240" w:lineRule="auto"/>
              <w:rPr>
                <w:b/>
              </w:rPr>
            </w:pPr>
            <w:r w:rsidRPr="00A67A6D">
              <w:rPr>
                <w:b/>
              </w:rPr>
              <w:t xml:space="preserve">HORARIO DE ATENCION </w:t>
            </w:r>
          </w:p>
        </w:tc>
        <w:tc>
          <w:tcPr>
            <w:tcW w:w="5635" w:type="dxa"/>
          </w:tcPr>
          <w:p w:rsidR="00942167" w:rsidRPr="00A67A6D" w:rsidRDefault="00896FE6" w:rsidP="008A7E5D">
            <w:pPr>
              <w:spacing w:after="0" w:line="240" w:lineRule="auto"/>
            </w:pPr>
            <w:r>
              <w:t>M-J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8A7E5D">
        <w:tc>
          <w:tcPr>
            <w:tcW w:w="3292" w:type="dxa"/>
          </w:tcPr>
          <w:p w:rsidR="00942167" w:rsidRPr="000D39D0" w:rsidRDefault="00942167" w:rsidP="008A7E5D">
            <w:pPr>
              <w:spacing w:after="0" w:line="240" w:lineRule="auto"/>
              <w:rPr>
                <w:b/>
              </w:rPr>
            </w:pPr>
            <w:r w:rsidRPr="000D39D0">
              <w:rPr>
                <w:b/>
              </w:rPr>
              <w:t>Código de la materia</w:t>
            </w:r>
          </w:p>
        </w:tc>
        <w:tc>
          <w:tcPr>
            <w:tcW w:w="5068" w:type="dxa"/>
          </w:tcPr>
          <w:p w:rsidR="00942167" w:rsidRPr="00A43D70" w:rsidRDefault="00A43D70" w:rsidP="008A7E5D">
            <w:pPr>
              <w:spacing w:after="0" w:line="240" w:lineRule="auto"/>
              <w:rPr>
                <w:rFonts w:asciiTheme="minorHAnsi" w:hAnsiTheme="minorHAnsi"/>
              </w:rPr>
            </w:pPr>
            <w:r w:rsidRPr="00A43D70">
              <w:rPr>
                <w:rFonts w:asciiTheme="minorHAnsi" w:hAnsiTheme="minorHAnsi"/>
              </w:rPr>
              <w:t>1504034</w:t>
            </w:r>
          </w:p>
        </w:tc>
      </w:tr>
      <w:tr w:rsidR="00942167" w:rsidRPr="000D39D0" w:rsidTr="008A7E5D">
        <w:tc>
          <w:tcPr>
            <w:tcW w:w="3292" w:type="dxa"/>
          </w:tcPr>
          <w:p w:rsidR="00942167" w:rsidRPr="000D39D0" w:rsidRDefault="00942167" w:rsidP="008A7E5D">
            <w:pPr>
              <w:spacing w:after="0" w:line="240" w:lineRule="auto"/>
              <w:rPr>
                <w:b/>
              </w:rPr>
            </w:pPr>
            <w:r w:rsidRPr="000D39D0">
              <w:rPr>
                <w:b/>
              </w:rPr>
              <w:t>Semestre</w:t>
            </w:r>
          </w:p>
        </w:tc>
        <w:tc>
          <w:tcPr>
            <w:tcW w:w="5068" w:type="dxa"/>
          </w:tcPr>
          <w:p w:rsidR="00942167" w:rsidRPr="00A43D70" w:rsidRDefault="00A43D70" w:rsidP="008A7E5D">
            <w:pPr>
              <w:spacing w:after="0" w:line="240" w:lineRule="auto"/>
              <w:rPr>
                <w:rFonts w:asciiTheme="minorHAnsi" w:hAnsiTheme="minorHAnsi"/>
              </w:rPr>
            </w:pPr>
            <w:r w:rsidRPr="00A43D70">
              <w:rPr>
                <w:rFonts w:asciiTheme="minorHAnsi" w:hAnsiTheme="minorHAnsi"/>
              </w:rPr>
              <w:t xml:space="preserve">VIII </w:t>
            </w:r>
          </w:p>
        </w:tc>
      </w:tr>
      <w:tr w:rsidR="00942167" w:rsidRPr="000D39D0" w:rsidTr="008A7E5D">
        <w:tc>
          <w:tcPr>
            <w:tcW w:w="3292" w:type="dxa"/>
          </w:tcPr>
          <w:p w:rsidR="00942167" w:rsidRPr="000D39D0" w:rsidRDefault="00942167" w:rsidP="008A7E5D">
            <w:pPr>
              <w:spacing w:after="0" w:line="240" w:lineRule="auto"/>
              <w:rPr>
                <w:b/>
              </w:rPr>
            </w:pPr>
            <w:r w:rsidRPr="000D39D0">
              <w:rPr>
                <w:b/>
              </w:rPr>
              <w:t>Área</w:t>
            </w:r>
          </w:p>
        </w:tc>
        <w:tc>
          <w:tcPr>
            <w:tcW w:w="5068" w:type="dxa"/>
          </w:tcPr>
          <w:p w:rsidR="00942167" w:rsidRPr="00A43D70" w:rsidRDefault="00A43D70" w:rsidP="008A7E5D">
            <w:pPr>
              <w:spacing w:after="0" w:line="240" w:lineRule="auto"/>
              <w:rPr>
                <w:rFonts w:asciiTheme="minorHAnsi" w:hAnsiTheme="minorHAnsi"/>
              </w:rPr>
            </w:pPr>
            <w:r w:rsidRPr="00A43D70">
              <w:rPr>
                <w:rFonts w:asciiTheme="minorHAnsi" w:hAnsiTheme="minorHAnsi"/>
              </w:rPr>
              <w:t>Matemáticas</w:t>
            </w:r>
          </w:p>
        </w:tc>
      </w:tr>
      <w:tr w:rsidR="00942167" w:rsidRPr="000D39D0" w:rsidTr="008A7E5D">
        <w:tc>
          <w:tcPr>
            <w:tcW w:w="3292" w:type="dxa"/>
          </w:tcPr>
          <w:p w:rsidR="00942167" w:rsidRPr="00E1027C" w:rsidRDefault="00942167" w:rsidP="008A7E5D">
            <w:pPr>
              <w:spacing w:after="0" w:line="240" w:lineRule="auto"/>
              <w:rPr>
                <w:b/>
              </w:rPr>
            </w:pPr>
            <w:r w:rsidRPr="00E1027C">
              <w:rPr>
                <w:b/>
              </w:rPr>
              <w:t>Horas teóricas semanales</w:t>
            </w:r>
          </w:p>
        </w:tc>
        <w:tc>
          <w:tcPr>
            <w:tcW w:w="5068" w:type="dxa"/>
          </w:tcPr>
          <w:p w:rsidR="00942167" w:rsidRPr="00A43D70" w:rsidRDefault="00CD3EAB" w:rsidP="008A7E5D">
            <w:pPr>
              <w:spacing w:after="0" w:line="240" w:lineRule="auto"/>
              <w:rPr>
                <w:rFonts w:asciiTheme="minorHAnsi" w:hAnsiTheme="minorHAnsi"/>
              </w:rPr>
            </w:pPr>
            <w:r>
              <w:rPr>
                <w:rFonts w:asciiTheme="minorHAnsi" w:hAnsiTheme="minorHAnsi"/>
              </w:rPr>
              <w:t>4</w:t>
            </w:r>
          </w:p>
        </w:tc>
      </w:tr>
      <w:tr w:rsidR="00942167" w:rsidRPr="000D39D0" w:rsidTr="008A7E5D">
        <w:tc>
          <w:tcPr>
            <w:tcW w:w="3292" w:type="dxa"/>
          </w:tcPr>
          <w:p w:rsidR="00942167" w:rsidRPr="000D39D0" w:rsidRDefault="00942167" w:rsidP="008A7E5D">
            <w:pPr>
              <w:spacing w:after="0" w:line="240" w:lineRule="auto"/>
              <w:rPr>
                <w:b/>
              </w:rPr>
            </w:pPr>
            <w:r w:rsidRPr="000D39D0">
              <w:rPr>
                <w:b/>
              </w:rPr>
              <w:t>Horas teóricas semestrales</w:t>
            </w:r>
          </w:p>
        </w:tc>
        <w:tc>
          <w:tcPr>
            <w:tcW w:w="5068" w:type="dxa"/>
          </w:tcPr>
          <w:p w:rsidR="00942167" w:rsidRPr="00A43D70" w:rsidRDefault="00CD3EAB" w:rsidP="008A7E5D">
            <w:pPr>
              <w:spacing w:after="0" w:line="240" w:lineRule="auto"/>
              <w:rPr>
                <w:rFonts w:asciiTheme="minorHAnsi" w:hAnsiTheme="minorHAnsi"/>
              </w:rPr>
            </w:pPr>
            <w:r>
              <w:rPr>
                <w:rFonts w:asciiTheme="minorHAnsi" w:hAnsiTheme="minorHAnsi"/>
              </w:rPr>
              <w:t>64</w:t>
            </w:r>
          </w:p>
        </w:tc>
      </w:tr>
      <w:tr w:rsidR="00942167" w:rsidRPr="000D39D0" w:rsidTr="008A7E5D">
        <w:tc>
          <w:tcPr>
            <w:tcW w:w="3292" w:type="dxa"/>
          </w:tcPr>
          <w:p w:rsidR="00942167" w:rsidRPr="000D39D0" w:rsidRDefault="00942167" w:rsidP="008A7E5D">
            <w:pPr>
              <w:spacing w:after="0" w:line="240" w:lineRule="auto"/>
              <w:rPr>
                <w:b/>
              </w:rPr>
            </w:pPr>
            <w:r w:rsidRPr="000D39D0">
              <w:rPr>
                <w:b/>
              </w:rPr>
              <w:t xml:space="preserve">Créditos </w:t>
            </w:r>
          </w:p>
        </w:tc>
        <w:tc>
          <w:tcPr>
            <w:tcW w:w="5068" w:type="dxa"/>
          </w:tcPr>
          <w:p w:rsidR="00942167" w:rsidRPr="0076791D" w:rsidRDefault="00CD3EAB" w:rsidP="008A7E5D">
            <w:pPr>
              <w:spacing w:after="0" w:line="240" w:lineRule="auto"/>
            </w:pPr>
            <w:r>
              <w:t>4</w:t>
            </w:r>
          </w:p>
        </w:tc>
      </w:tr>
      <w:tr w:rsidR="00942167" w:rsidRPr="000D39D0" w:rsidTr="008A7E5D">
        <w:tc>
          <w:tcPr>
            <w:tcW w:w="3292" w:type="dxa"/>
          </w:tcPr>
          <w:p w:rsidR="00942167" w:rsidRPr="000D39D0" w:rsidRDefault="00942167" w:rsidP="008A7E5D">
            <w:pPr>
              <w:spacing w:after="0" w:line="240" w:lineRule="auto"/>
              <w:rPr>
                <w:b/>
              </w:rPr>
            </w:pPr>
            <w:r w:rsidRPr="000D39D0">
              <w:rPr>
                <w:b/>
              </w:rPr>
              <w:t>Validable</w:t>
            </w:r>
          </w:p>
        </w:tc>
        <w:tc>
          <w:tcPr>
            <w:tcW w:w="5068" w:type="dxa"/>
          </w:tcPr>
          <w:p w:rsidR="00942167" w:rsidRPr="0076791D" w:rsidRDefault="00A43D70" w:rsidP="008A7E5D">
            <w:pPr>
              <w:spacing w:after="0" w:line="240" w:lineRule="auto"/>
            </w:pPr>
            <w:r>
              <w:t>Si</w:t>
            </w:r>
          </w:p>
        </w:tc>
      </w:tr>
      <w:tr w:rsidR="00942167" w:rsidRPr="000D39D0" w:rsidTr="008A7E5D">
        <w:tc>
          <w:tcPr>
            <w:tcW w:w="3292" w:type="dxa"/>
          </w:tcPr>
          <w:p w:rsidR="00942167" w:rsidRPr="000D39D0" w:rsidRDefault="00942167" w:rsidP="008A7E5D">
            <w:pPr>
              <w:spacing w:after="0" w:line="240" w:lineRule="auto"/>
              <w:rPr>
                <w:b/>
              </w:rPr>
            </w:pPr>
            <w:r w:rsidRPr="00310756">
              <w:rPr>
                <w:b/>
              </w:rPr>
              <w:t>Habilitable</w:t>
            </w:r>
          </w:p>
        </w:tc>
        <w:tc>
          <w:tcPr>
            <w:tcW w:w="5068" w:type="dxa"/>
          </w:tcPr>
          <w:p w:rsidR="00942167" w:rsidRPr="0076791D" w:rsidRDefault="00A43D70" w:rsidP="008A7E5D">
            <w:pPr>
              <w:spacing w:after="0" w:line="240" w:lineRule="auto"/>
            </w:pPr>
            <w:r>
              <w:t>Si</w:t>
            </w:r>
          </w:p>
        </w:tc>
      </w:tr>
      <w:tr w:rsidR="00942167" w:rsidRPr="000D39D0" w:rsidTr="008A7E5D">
        <w:tc>
          <w:tcPr>
            <w:tcW w:w="3292" w:type="dxa"/>
          </w:tcPr>
          <w:p w:rsidR="00942167" w:rsidRPr="000D39D0" w:rsidRDefault="00942167" w:rsidP="008A7E5D">
            <w:pPr>
              <w:spacing w:after="0" w:line="240" w:lineRule="auto"/>
              <w:rPr>
                <w:b/>
              </w:rPr>
            </w:pPr>
            <w:r w:rsidRPr="000D39D0">
              <w:rPr>
                <w:b/>
              </w:rPr>
              <w:t>Clasificable</w:t>
            </w:r>
          </w:p>
        </w:tc>
        <w:tc>
          <w:tcPr>
            <w:tcW w:w="5068" w:type="dxa"/>
          </w:tcPr>
          <w:p w:rsidR="00942167" w:rsidRPr="0076791D" w:rsidRDefault="00CD3EAB" w:rsidP="008A7E5D">
            <w:pPr>
              <w:spacing w:after="0" w:line="240" w:lineRule="auto"/>
            </w:pPr>
            <w:r>
              <w:t>No</w:t>
            </w:r>
          </w:p>
        </w:tc>
      </w:tr>
      <w:tr w:rsidR="00942167" w:rsidRPr="000D39D0" w:rsidTr="008A7E5D">
        <w:trPr>
          <w:trHeight w:val="262"/>
        </w:trPr>
        <w:tc>
          <w:tcPr>
            <w:tcW w:w="3292" w:type="dxa"/>
          </w:tcPr>
          <w:p w:rsidR="00942167" w:rsidRPr="00A43D70" w:rsidRDefault="00942167" w:rsidP="008A7E5D">
            <w:pPr>
              <w:spacing w:after="0" w:line="240" w:lineRule="auto"/>
              <w:rPr>
                <w:rFonts w:asciiTheme="minorHAnsi" w:hAnsiTheme="minorHAnsi"/>
                <w:b/>
              </w:rPr>
            </w:pPr>
            <w:r w:rsidRPr="00A43D70">
              <w:rPr>
                <w:rFonts w:asciiTheme="minorHAnsi" w:hAnsiTheme="minorHAnsi"/>
                <w:b/>
              </w:rPr>
              <w:t>Requisitos</w:t>
            </w:r>
          </w:p>
        </w:tc>
        <w:tc>
          <w:tcPr>
            <w:tcW w:w="5068" w:type="dxa"/>
          </w:tcPr>
          <w:p w:rsidR="00942167" w:rsidRPr="00A43D70" w:rsidRDefault="00A43D70" w:rsidP="00A43D70">
            <w:pPr>
              <w:spacing w:after="0" w:line="240" w:lineRule="auto"/>
              <w:rPr>
                <w:rFonts w:asciiTheme="minorHAnsi" w:hAnsiTheme="minorHAnsi"/>
              </w:rPr>
            </w:pPr>
            <w:r w:rsidRPr="00A43D70">
              <w:rPr>
                <w:rFonts w:asciiTheme="minorHAnsi" w:hAnsiTheme="minorHAnsi"/>
              </w:rPr>
              <w:t>Econometría I – 1504030</w:t>
            </w:r>
          </w:p>
        </w:tc>
      </w:tr>
      <w:tr w:rsidR="00942167" w:rsidRPr="000D39D0" w:rsidTr="008A7E5D">
        <w:tc>
          <w:tcPr>
            <w:tcW w:w="3292" w:type="dxa"/>
          </w:tcPr>
          <w:p w:rsidR="00942167" w:rsidRPr="000D39D0" w:rsidRDefault="00942167" w:rsidP="008A7E5D">
            <w:pPr>
              <w:spacing w:after="0" w:line="240" w:lineRule="auto"/>
              <w:rPr>
                <w:b/>
              </w:rPr>
            </w:pPr>
            <w:r w:rsidRPr="000D39D0">
              <w:rPr>
                <w:b/>
              </w:rPr>
              <w:t>Correquisitos</w:t>
            </w:r>
          </w:p>
        </w:tc>
        <w:tc>
          <w:tcPr>
            <w:tcW w:w="5068" w:type="dxa"/>
          </w:tcPr>
          <w:p w:rsidR="00942167" w:rsidRPr="0076791D" w:rsidRDefault="00CD3EAB" w:rsidP="008A7E5D">
            <w:pPr>
              <w:spacing w:after="0" w:line="240" w:lineRule="auto"/>
            </w:pPr>
            <w:r>
              <w:t>Ninguno</w:t>
            </w:r>
          </w:p>
        </w:tc>
      </w:tr>
      <w:tr w:rsidR="00942167" w:rsidRPr="000D39D0" w:rsidTr="008A7E5D">
        <w:tc>
          <w:tcPr>
            <w:tcW w:w="3292" w:type="dxa"/>
          </w:tcPr>
          <w:p w:rsidR="00942167" w:rsidRPr="000D39D0" w:rsidRDefault="00942167" w:rsidP="008A7E5D">
            <w:pPr>
              <w:spacing w:after="0" w:line="240" w:lineRule="auto"/>
              <w:rPr>
                <w:b/>
              </w:rPr>
            </w:pPr>
            <w:r w:rsidRPr="000D39D0">
              <w:rPr>
                <w:b/>
              </w:rPr>
              <w:t>Programa a los cuales se ofrece la materia</w:t>
            </w:r>
          </w:p>
        </w:tc>
        <w:tc>
          <w:tcPr>
            <w:tcW w:w="5068" w:type="dxa"/>
          </w:tcPr>
          <w:p w:rsidR="00942167" w:rsidRPr="0076791D" w:rsidRDefault="00CD3EAB" w:rsidP="008A7E5D">
            <w:pPr>
              <w:jc w:val="both"/>
            </w:pPr>
            <w:r>
              <w:t>Economía</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8A7E5D">
        <w:tc>
          <w:tcPr>
            <w:tcW w:w="3292" w:type="dxa"/>
          </w:tcPr>
          <w:p w:rsidR="00942167" w:rsidRPr="000D39D0" w:rsidRDefault="00942167" w:rsidP="008A7E5D">
            <w:pPr>
              <w:spacing w:after="0" w:line="240" w:lineRule="auto"/>
              <w:rPr>
                <w:b/>
              </w:rPr>
            </w:pPr>
            <w:r w:rsidRPr="000D39D0">
              <w:rPr>
                <w:b/>
              </w:rPr>
              <w:t>Propósito del curso:</w:t>
            </w:r>
          </w:p>
          <w:p w:rsidR="00942167" w:rsidRPr="000D39D0" w:rsidRDefault="00942167" w:rsidP="008A7E5D">
            <w:pPr>
              <w:spacing w:after="0" w:line="240" w:lineRule="auto"/>
              <w:rPr>
                <w:b/>
              </w:rPr>
            </w:pPr>
          </w:p>
        </w:tc>
        <w:tc>
          <w:tcPr>
            <w:tcW w:w="5068" w:type="dxa"/>
          </w:tcPr>
          <w:p w:rsidR="00425448" w:rsidRPr="000D39D0" w:rsidRDefault="00454C57" w:rsidP="00EE3A73">
            <w:pPr>
              <w:spacing w:after="0"/>
              <w:jc w:val="both"/>
            </w:pPr>
            <w:r>
              <w:t xml:space="preserve">Este curso pretende brindarle al estudiante algunas técnicas de la teoría econométrica para así, conocer y desarrollar </w:t>
            </w:r>
            <w:r w:rsidRPr="006A3B1B">
              <w:t>análisis cuantitativos de algunos fenómenos económicos</w:t>
            </w:r>
            <w:r>
              <w:rPr>
                <w:rFonts w:asciiTheme="minorHAnsi" w:hAnsiTheme="minorHAnsi"/>
              </w:rPr>
              <w:t>.</w:t>
            </w:r>
          </w:p>
        </w:tc>
      </w:tr>
      <w:tr w:rsidR="00942167" w:rsidRPr="000D39D0" w:rsidTr="00134974">
        <w:trPr>
          <w:trHeight w:val="417"/>
        </w:trPr>
        <w:tc>
          <w:tcPr>
            <w:tcW w:w="3292" w:type="dxa"/>
          </w:tcPr>
          <w:p w:rsidR="00942167" w:rsidRPr="000D39D0" w:rsidRDefault="00942167" w:rsidP="008A7E5D">
            <w:pPr>
              <w:spacing w:after="0" w:line="240" w:lineRule="auto"/>
              <w:rPr>
                <w:b/>
              </w:rPr>
            </w:pPr>
            <w:r w:rsidRPr="000D39D0">
              <w:rPr>
                <w:b/>
              </w:rPr>
              <w:t>Justificación:</w:t>
            </w: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tc>
        <w:tc>
          <w:tcPr>
            <w:tcW w:w="5068" w:type="dxa"/>
          </w:tcPr>
          <w:p w:rsidR="00942167" w:rsidRPr="00134974" w:rsidRDefault="00134974" w:rsidP="00134974">
            <w:pPr>
              <w:pStyle w:val="Textoindependiente"/>
              <w:jc w:val="both"/>
            </w:pPr>
            <w:r>
              <w:t>La teoría Económica, en general, hace afirmaciones o formula hipótesis de naturaleza principalmente cualitativa. Para poder validar  estas hipótesis se deben desarrollar modelos económicos, los cuales se expresan, usualmente, en forma de ecuaciones matemát</w:t>
            </w:r>
            <w:r w:rsidR="00575E7D">
              <w:t xml:space="preserve">icas. La </w:t>
            </w:r>
            <w:r>
              <w:t xml:space="preserve">Econometría transforma estas ecuaciones matemáticas en modelos estadísticos para </w:t>
            </w:r>
            <w:r>
              <w:lastRenderedPageBreak/>
              <w:t>poder realizar las inferencias necesarias que permitan la verificación empírica de la  teoría económica.</w:t>
            </w:r>
          </w:p>
        </w:tc>
      </w:tr>
      <w:tr w:rsidR="00942167" w:rsidRPr="000D39D0" w:rsidTr="00134974">
        <w:trPr>
          <w:trHeight w:val="962"/>
        </w:trPr>
        <w:tc>
          <w:tcPr>
            <w:tcW w:w="3292" w:type="dxa"/>
          </w:tcPr>
          <w:p w:rsidR="00942167" w:rsidRPr="000D39D0" w:rsidRDefault="00942167" w:rsidP="008A7E5D">
            <w:pPr>
              <w:spacing w:after="0" w:line="240" w:lineRule="auto"/>
              <w:rPr>
                <w:b/>
              </w:rPr>
            </w:pPr>
            <w:r w:rsidRPr="000D39D0">
              <w:rPr>
                <w:b/>
              </w:rPr>
              <w:lastRenderedPageBreak/>
              <w:t>Objetivo General:</w:t>
            </w: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tc>
        <w:tc>
          <w:tcPr>
            <w:tcW w:w="5068" w:type="dxa"/>
          </w:tcPr>
          <w:p w:rsidR="00942167" w:rsidRPr="00134974" w:rsidRDefault="00134974" w:rsidP="00134974">
            <w:pPr>
              <w:pStyle w:val="Sangra3detindependiente"/>
              <w:spacing w:after="0"/>
              <w:ind w:left="0"/>
              <w:jc w:val="both"/>
              <w:rPr>
                <w:rFonts w:asciiTheme="minorHAnsi" w:hAnsiTheme="minorHAnsi"/>
                <w:sz w:val="22"/>
                <w:szCs w:val="22"/>
              </w:rPr>
            </w:pPr>
            <w:r w:rsidRPr="00134974">
              <w:rPr>
                <w:rFonts w:asciiTheme="minorHAnsi" w:hAnsiTheme="minorHAnsi"/>
                <w:sz w:val="22"/>
                <w:szCs w:val="22"/>
              </w:rPr>
              <w:t>Conocer, desarrollar y aplicar algunas técnicas de la teoría econométrica que permitan realizar análisis cuantitativos de algunos fenómenos económicos</w:t>
            </w:r>
          </w:p>
        </w:tc>
      </w:tr>
      <w:tr w:rsidR="00942167" w:rsidRPr="000D39D0" w:rsidTr="00134974">
        <w:trPr>
          <w:trHeight w:val="4440"/>
        </w:trPr>
        <w:tc>
          <w:tcPr>
            <w:tcW w:w="3292" w:type="dxa"/>
          </w:tcPr>
          <w:p w:rsidR="00942167" w:rsidRPr="000D39D0" w:rsidRDefault="00942167" w:rsidP="008A7E5D">
            <w:pPr>
              <w:spacing w:after="0" w:line="240" w:lineRule="auto"/>
              <w:rPr>
                <w:b/>
              </w:rPr>
            </w:pPr>
            <w:r w:rsidRPr="000D39D0">
              <w:rPr>
                <w:b/>
              </w:rPr>
              <w:t>Objetivos Específicos:</w:t>
            </w: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tc>
        <w:tc>
          <w:tcPr>
            <w:tcW w:w="5068" w:type="dxa"/>
          </w:tcPr>
          <w:p w:rsidR="00134974" w:rsidRDefault="00134974" w:rsidP="00134974">
            <w:pPr>
              <w:pStyle w:val="Lista3"/>
              <w:numPr>
                <w:ilvl w:val="0"/>
                <w:numId w:val="10"/>
              </w:numPr>
              <w:ind w:left="176" w:hanging="142"/>
              <w:jc w:val="both"/>
            </w:pPr>
            <w:r>
              <w:t>Desarrollar y ampliar el modelo de regresión lineal para que pueda responder a propiedades dinámicas y de simultaneidad que se presentan en el mundo de los fenómenos económicos, como también a la posibilidad de que la variable a explicar sea discreta.</w:t>
            </w:r>
          </w:p>
          <w:p w:rsidR="00134974" w:rsidRDefault="00134974" w:rsidP="00134974">
            <w:pPr>
              <w:pStyle w:val="Lista3"/>
              <w:numPr>
                <w:ilvl w:val="0"/>
                <w:numId w:val="10"/>
              </w:numPr>
              <w:ind w:left="176" w:hanging="142"/>
              <w:jc w:val="both"/>
            </w:pPr>
            <w:r>
              <w:t xml:space="preserve">Presentar una introducción a la metodología ARIMA y a los modelos VAR. </w:t>
            </w:r>
          </w:p>
          <w:p w:rsidR="00134974" w:rsidRPr="00134974" w:rsidRDefault="00134974" w:rsidP="00134974">
            <w:pPr>
              <w:pStyle w:val="Lista3"/>
              <w:numPr>
                <w:ilvl w:val="0"/>
                <w:numId w:val="10"/>
              </w:numPr>
              <w:ind w:left="176" w:hanging="142"/>
              <w:jc w:val="both"/>
            </w:pPr>
            <w:r>
              <w:t>Manejar datos reales y simulados que permitan la comprensión de los supuestos teóricos y las propiedades que se derivan de ellos, así como la contrastación y validación de algunas teorías económicas.</w:t>
            </w:r>
          </w:p>
          <w:p w:rsidR="00942167" w:rsidRPr="00134974" w:rsidRDefault="00134974" w:rsidP="00724EF8">
            <w:pPr>
              <w:pStyle w:val="Lista3"/>
              <w:numPr>
                <w:ilvl w:val="0"/>
                <w:numId w:val="10"/>
              </w:numPr>
              <w:spacing w:after="0"/>
              <w:ind w:left="176" w:hanging="142"/>
              <w:jc w:val="both"/>
            </w:pPr>
            <w:r w:rsidRPr="00134974">
              <w:t>Manipular algunos softwares especializados que permitan la aplicación de la teoría desarrollada.</w:t>
            </w:r>
          </w:p>
        </w:tc>
      </w:tr>
      <w:tr w:rsidR="00942167" w:rsidRPr="000D39D0" w:rsidTr="008A7E5D">
        <w:tc>
          <w:tcPr>
            <w:tcW w:w="3292" w:type="dxa"/>
          </w:tcPr>
          <w:p w:rsidR="00942167" w:rsidRPr="000D39D0" w:rsidRDefault="00942167" w:rsidP="008A7E5D">
            <w:pPr>
              <w:spacing w:after="0" w:line="240" w:lineRule="auto"/>
              <w:rPr>
                <w:b/>
              </w:rPr>
            </w:pPr>
            <w:r w:rsidRPr="000D39D0">
              <w:rPr>
                <w:b/>
              </w:rPr>
              <w:t>Contenido resumido</w:t>
            </w: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p w:rsidR="00942167" w:rsidRPr="000D39D0" w:rsidRDefault="00942167" w:rsidP="008A7E5D">
            <w:pPr>
              <w:spacing w:after="0" w:line="240" w:lineRule="auto"/>
              <w:rPr>
                <w:b/>
              </w:rPr>
            </w:pPr>
          </w:p>
        </w:tc>
        <w:tc>
          <w:tcPr>
            <w:tcW w:w="5068" w:type="dxa"/>
          </w:tcPr>
          <w:p w:rsidR="00134974" w:rsidRPr="00134974" w:rsidRDefault="00134974" w:rsidP="00724EF8">
            <w:pPr>
              <w:pStyle w:val="BodyText31"/>
              <w:widowControl/>
              <w:numPr>
                <w:ilvl w:val="0"/>
                <w:numId w:val="11"/>
              </w:numPr>
              <w:spacing w:line="276" w:lineRule="auto"/>
              <w:ind w:left="317"/>
              <w:rPr>
                <w:rFonts w:asciiTheme="minorHAnsi" w:hAnsiTheme="minorHAnsi"/>
                <w:sz w:val="22"/>
              </w:rPr>
            </w:pPr>
            <w:r w:rsidRPr="00134974">
              <w:rPr>
                <w:rFonts w:asciiTheme="minorHAnsi" w:hAnsiTheme="minorHAnsi"/>
                <w:sz w:val="22"/>
              </w:rPr>
              <w:t>Series de tiempo univariante. Estacionaridad. Metodología ARIMA. Estacionalidad.</w:t>
            </w:r>
          </w:p>
          <w:p w:rsidR="00CD3EAB" w:rsidRDefault="00134974" w:rsidP="00724EF8">
            <w:pPr>
              <w:pStyle w:val="BodyText31"/>
              <w:widowControl/>
              <w:numPr>
                <w:ilvl w:val="0"/>
                <w:numId w:val="11"/>
              </w:numPr>
              <w:spacing w:line="276" w:lineRule="auto"/>
              <w:ind w:left="317"/>
              <w:rPr>
                <w:rFonts w:asciiTheme="minorHAnsi" w:hAnsiTheme="minorHAnsi"/>
                <w:sz w:val="22"/>
              </w:rPr>
            </w:pPr>
            <w:r w:rsidRPr="00134974">
              <w:rPr>
                <w:rFonts w:asciiTheme="minorHAnsi" w:hAnsiTheme="minorHAnsi"/>
                <w:sz w:val="22"/>
              </w:rPr>
              <w:t>Modelos Econométricos Dinámicos. Modelos Autorregresivos y de Rezagos distribuidos (ADL). Exogeneidad. Regresores no estacionarios. Introducción a la Cointegración</w:t>
            </w:r>
          </w:p>
          <w:p w:rsidR="00134974" w:rsidRPr="00134974" w:rsidRDefault="00134974" w:rsidP="00724EF8">
            <w:pPr>
              <w:pStyle w:val="BodyText31"/>
              <w:widowControl/>
              <w:numPr>
                <w:ilvl w:val="0"/>
                <w:numId w:val="11"/>
              </w:numPr>
              <w:spacing w:line="276" w:lineRule="auto"/>
              <w:ind w:left="317"/>
              <w:rPr>
                <w:rFonts w:asciiTheme="minorHAnsi" w:hAnsiTheme="minorHAnsi"/>
                <w:sz w:val="22"/>
              </w:rPr>
            </w:pPr>
            <w:r w:rsidRPr="00134974">
              <w:rPr>
                <w:rFonts w:asciiTheme="minorHAnsi" w:hAnsiTheme="minorHAnsi"/>
                <w:sz w:val="22"/>
              </w:rPr>
              <w:t>Modelos de Ecuaciones Múltiples. Modelos VAR. Modelos de corrección de Error. Modelos de Ecuaciones Simultaneas estructurales. Metodología SUR.</w:t>
            </w:r>
          </w:p>
          <w:p w:rsidR="00134974" w:rsidRPr="0076791D" w:rsidRDefault="00134974" w:rsidP="00724EF8">
            <w:pPr>
              <w:pStyle w:val="BodyText31"/>
              <w:widowControl/>
              <w:numPr>
                <w:ilvl w:val="0"/>
                <w:numId w:val="11"/>
              </w:numPr>
              <w:spacing w:line="276" w:lineRule="auto"/>
              <w:ind w:left="317"/>
              <w:rPr>
                <w:rFonts w:asciiTheme="minorHAnsi" w:hAnsiTheme="minorHAnsi"/>
                <w:sz w:val="22"/>
                <w:szCs w:val="22"/>
              </w:rPr>
            </w:pPr>
            <w:r w:rsidRPr="00134974">
              <w:rPr>
                <w:rFonts w:asciiTheme="minorHAnsi" w:hAnsiTheme="minorHAnsi"/>
                <w:sz w:val="22"/>
              </w:rPr>
              <w:t>Modelos de variable dependiente discreta y limitada. Modelos logit, Probit. Probit ordenados. Modelos Tobit.</w:t>
            </w:r>
          </w:p>
        </w:tc>
      </w:tr>
    </w:tbl>
    <w:p w:rsidR="00942167" w:rsidRDefault="00942167" w:rsidP="00942167">
      <w:pPr>
        <w:jc w:val="center"/>
      </w:pPr>
    </w:p>
    <w:p w:rsidR="00942167" w:rsidRDefault="00942167" w:rsidP="00942167">
      <w:pPr>
        <w:rPr>
          <w:b/>
        </w:rPr>
      </w:pPr>
      <w:r>
        <w:rPr>
          <w:b/>
        </w:rPr>
        <w:t>UNIDADES DETALLADAS</w:t>
      </w:r>
    </w:p>
    <w:p w:rsidR="00942167" w:rsidRDefault="00CD3EAB" w:rsidP="00942167">
      <w:pPr>
        <w:rPr>
          <w:b/>
        </w:rPr>
      </w:pPr>
      <w:r>
        <w:rPr>
          <w:b/>
        </w:rPr>
        <w:t xml:space="preserve">Unidad No. </w:t>
      </w:r>
      <w:r w:rsidR="00134974">
        <w:rPr>
          <w:b/>
        </w:rPr>
        <w:t>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678"/>
        <w:gridCol w:w="1099"/>
      </w:tblGrid>
      <w:tr w:rsidR="00134974" w:rsidRPr="000D39D0" w:rsidTr="00134974">
        <w:tc>
          <w:tcPr>
            <w:tcW w:w="2583" w:type="dxa"/>
          </w:tcPr>
          <w:p w:rsidR="00134974" w:rsidRPr="000D39D0" w:rsidRDefault="00134974" w:rsidP="008A7E5D">
            <w:pPr>
              <w:spacing w:after="0" w:line="240" w:lineRule="auto"/>
              <w:rPr>
                <w:b/>
              </w:rPr>
            </w:pPr>
            <w:r w:rsidRPr="000D39D0">
              <w:rPr>
                <w:b/>
              </w:rPr>
              <w:t xml:space="preserve">Tema(s) a desarrollar </w:t>
            </w:r>
          </w:p>
        </w:tc>
        <w:tc>
          <w:tcPr>
            <w:tcW w:w="4678" w:type="dxa"/>
          </w:tcPr>
          <w:p w:rsidR="00134974" w:rsidRPr="00134974" w:rsidRDefault="00134974" w:rsidP="00724EF8">
            <w:pPr>
              <w:spacing w:after="0"/>
              <w:rPr>
                <w:rFonts w:asciiTheme="minorHAnsi" w:hAnsiTheme="minorHAnsi"/>
              </w:rPr>
            </w:pPr>
            <w:r w:rsidRPr="00134974">
              <w:rPr>
                <w:rFonts w:asciiTheme="minorHAnsi" w:hAnsiTheme="minorHAnsi"/>
              </w:rPr>
              <w:t>Series de tiempo univariante. Estacionaridad. Metodología ARIMA.      Estacionalidad</w:t>
            </w:r>
          </w:p>
        </w:tc>
        <w:tc>
          <w:tcPr>
            <w:tcW w:w="1099" w:type="dxa"/>
          </w:tcPr>
          <w:p w:rsidR="00134974" w:rsidRPr="00134974" w:rsidRDefault="00134974" w:rsidP="008A7E5D">
            <w:pPr>
              <w:spacing w:after="0" w:line="240" w:lineRule="auto"/>
            </w:pPr>
            <w:r w:rsidRPr="00134974">
              <w:t xml:space="preserve">Sesión </w:t>
            </w:r>
          </w:p>
        </w:tc>
      </w:tr>
      <w:tr w:rsidR="00134974" w:rsidRPr="000D39D0" w:rsidTr="00134974">
        <w:trPr>
          <w:trHeight w:val="137"/>
        </w:trPr>
        <w:tc>
          <w:tcPr>
            <w:tcW w:w="2583" w:type="dxa"/>
            <w:vMerge w:val="restart"/>
          </w:tcPr>
          <w:p w:rsidR="00134974" w:rsidRPr="002B1F5F" w:rsidRDefault="00134974" w:rsidP="008A7E5D">
            <w:pPr>
              <w:spacing w:after="0" w:line="240" w:lineRule="auto"/>
              <w:rPr>
                <w:rFonts w:asciiTheme="minorHAnsi" w:hAnsiTheme="minorHAnsi"/>
                <w:b/>
              </w:rPr>
            </w:pPr>
            <w:r w:rsidRPr="002B1F5F">
              <w:rPr>
                <w:rFonts w:asciiTheme="minorHAnsi" w:hAnsiTheme="minorHAnsi"/>
                <w:b/>
              </w:rPr>
              <w:t>Subtemas</w:t>
            </w:r>
          </w:p>
          <w:p w:rsidR="00134974" w:rsidRPr="002B1F5F" w:rsidRDefault="00134974" w:rsidP="008A7E5D">
            <w:pPr>
              <w:spacing w:after="0" w:line="240" w:lineRule="auto"/>
              <w:rPr>
                <w:rFonts w:asciiTheme="minorHAnsi" w:hAnsiTheme="minorHAnsi"/>
                <w:b/>
              </w:rPr>
            </w:pPr>
          </w:p>
          <w:p w:rsidR="00134974" w:rsidRPr="002B1F5F" w:rsidRDefault="00134974" w:rsidP="008A7E5D">
            <w:pPr>
              <w:spacing w:after="0" w:line="240" w:lineRule="auto"/>
              <w:rPr>
                <w:rFonts w:asciiTheme="minorHAnsi" w:hAnsiTheme="minorHAnsi"/>
                <w:b/>
              </w:rPr>
            </w:pPr>
          </w:p>
        </w:tc>
        <w:tc>
          <w:tcPr>
            <w:tcW w:w="4678" w:type="dxa"/>
            <w:tcBorders>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 xml:space="preserve">Introducción. Series estacionarias. El operador rezago                             </w:t>
            </w:r>
          </w:p>
        </w:tc>
        <w:tc>
          <w:tcPr>
            <w:tcW w:w="1099" w:type="dxa"/>
            <w:tcBorders>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w:t>
            </w:r>
          </w:p>
        </w:tc>
      </w:tr>
      <w:tr w:rsidR="00134974" w:rsidRPr="000D39D0" w:rsidTr="00134974">
        <w:trPr>
          <w:trHeight w:val="115"/>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Procesos AR(1), AR(2). Generalización</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2</w:t>
            </w:r>
          </w:p>
        </w:tc>
      </w:tr>
      <w:tr w:rsidR="00134974" w:rsidRPr="000D39D0" w:rsidTr="00134974">
        <w:trPr>
          <w:trHeight w:val="154"/>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Procesos MA(1), MA(2). Generalización.</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3</w:t>
            </w:r>
          </w:p>
        </w:tc>
      </w:tr>
      <w:tr w:rsidR="00134974" w:rsidRPr="000D39D0" w:rsidTr="00134974">
        <w:trPr>
          <w:trHeight w:val="98"/>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Procesos ARMA. Generalización</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4</w:t>
            </w:r>
          </w:p>
        </w:tc>
      </w:tr>
      <w:tr w:rsidR="00134974" w:rsidRPr="000D39D0" w:rsidTr="00134974">
        <w:trPr>
          <w:trHeight w:val="154"/>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Pruebas de estacionaridad. Ejercicios de Simulación</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5</w:t>
            </w:r>
          </w:p>
        </w:tc>
      </w:tr>
      <w:tr w:rsidR="00134974" w:rsidRPr="000D39D0" w:rsidTr="00134974">
        <w:trPr>
          <w:trHeight w:val="120"/>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Series integradas. Procesos ARIMA</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6</w:t>
            </w:r>
          </w:p>
        </w:tc>
      </w:tr>
      <w:tr w:rsidR="00134974" w:rsidRPr="000D39D0" w:rsidTr="00134974">
        <w:trPr>
          <w:trHeight w:val="132"/>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Raíces unitarias. Pruebas</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7</w:t>
            </w:r>
          </w:p>
        </w:tc>
      </w:tr>
      <w:tr w:rsidR="00134974" w:rsidRPr="000D39D0" w:rsidTr="00134974">
        <w:trPr>
          <w:trHeight w:val="154"/>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Ejercicios sobre el manejo de las  pruebas de raíces unitarias</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8</w:t>
            </w:r>
          </w:p>
        </w:tc>
      </w:tr>
      <w:tr w:rsidR="00134974" w:rsidRPr="000D39D0" w:rsidTr="00134974">
        <w:trPr>
          <w:trHeight w:val="206"/>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Identificación, estimación de Modelos ARIMA.</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9</w:t>
            </w:r>
          </w:p>
        </w:tc>
      </w:tr>
      <w:tr w:rsidR="00134974" w:rsidRPr="000D39D0" w:rsidTr="00134974">
        <w:trPr>
          <w:trHeight w:val="120"/>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Validación de los modelos seleccionados.</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10</w:t>
            </w:r>
          </w:p>
        </w:tc>
      </w:tr>
      <w:tr w:rsidR="00134974" w:rsidRPr="000D39D0" w:rsidTr="00134974">
        <w:trPr>
          <w:trHeight w:val="120"/>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 xml:space="preserve">Ejercicios sobre identificación, estimación y validación de modelos ARIMA   </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11</w:t>
            </w:r>
          </w:p>
        </w:tc>
      </w:tr>
      <w:tr w:rsidR="00134974" w:rsidRPr="000D39D0" w:rsidTr="00134974">
        <w:trPr>
          <w:trHeight w:val="137"/>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tabs>
                <w:tab w:val="left" w:pos="2794"/>
              </w:tabs>
              <w:spacing w:after="0" w:line="240" w:lineRule="auto"/>
              <w:jc w:val="both"/>
              <w:rPr>
                <w:rFonts w:asciiTheme="minorHAnsi" w:hAnsiTheme="minorHAnsi"/>
              </w:rPr>
            </w:pPr>
            <w:r w:rsidRPr="00134974">
              <w:rPr>
                <w:rFonts w:asciiTheme="minorHAnsi" w:hAnsiTheme="minorHAnsi"/>
              </w:rPr>
              <w:t>Pronósticos con la metodología ARIMA</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12</w:t>
            </w:r>
          </w:p>
        </w:tc>
      </w:tr>
      <w:tr w:rsidR="00134974" w:rsidRPr="000D39D0" w:rsidTr="00134974">
        <w:trPr>
          <w:trHeight w:val="86"/>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Estacionalidad. Introducción.</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13</w:t>
            </w:r>
          </w:p>
        </w:tc>
      </w:tr>
      <w:tr w:rsidR="00134974" w:rsidRPr="000D39D0" w:rsidTr="00134974">
        <w:trPr>
          <w:trHeight w:val="171"/>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Ejercicios con series estacionales.</w:t>
            </w:r>
          </w:p>
        </w:tc>
        <w:tc>
          <w:tcPr>
            <w:tcW w:w="1099" w:type="dxa"/>
            <w:tcBorders>
              <w:top w:val="single" w:sz="4" w:space="0" w:color="auto"/>
              <w:left w:val="single" w:sz="4" w:space="0" w:color="auto"/>
              <w:bottom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14</w:t>
            </w:r>
          </w:p>
        </w:tc>
      </w:tr>
      <w:tr w:rsidR="00134974" w:rsidRPr="000D39D0" w:rsidTr="008A7E5D">
        <w:trPr>
          <w:trHeight w:val="120"/>
        </w:trPr>
        <w:tc>
          <w:tcPr>
            <w:tcW w:w="2583" w:type="dxa"/>
            <w:vMerge/>
          </w:tcPr>
          <w:p w:rsidR="00134974" w:rsidRPr="002B1F5F" w:rsidRDefault="00134974" w:rsidP="008A7E5D">
            <w:pPr>
              <w:spacing w:after="0" w:line="240" w:lineRule="auto"/>
              <w:rPr>
                <w:rFonts w:asciiTheme="minorHAnsi" w:hAnsiTheme="minorHAnsi"/>
                <w:b/>
              </w:rPr>
            </w:pPr>
          </w:p>
        </w:tc>
        <w:tc>
          <w:tcPr>
            <w:tcW w:w="4678" w:type="dxa"/>
            <w:tcBorders>
              <w:top w:val="single" w:sz="4" w:space="0" w:color="auto"/>
              <w:bottom w:val="single" w:sz="4" w:space="0" w:color="auto"/>
              <w:right w:val="single" w:sz="4" w:space="0" w:color="auto"/>
            </w:tcBorders>
          </w:tcPr>
          <w:p w:rsidR="00134974" w:rsidRPr="00134974" w:rsidRDefault="00134974" w:rsidP="00134974">
            <w:pPr>
              <w:spacing w:after="0" w:line="240" w:lineRule="auto"/>
              <w:jc w:val="both"/>
              <w:rPr>
                <w:rFonts w:asciiTheme="minorHAnsi" w:hAnsiTheme="minorHAnsi"/>
              </w:rPr>
            </w:pPr>
            <w:r w:rsidRPr="00134974">
              <w:rPr>
                <w:rFonts w:asciiTheme="minorHAnsi" w:hAnsiTheme="minorHAnsi"/>
              </w:rPr>
              <w:t>Validación de pronósticos. Ejercicios</w:t>
            </w:r>
          </w:p>
        </w:tc>
        <w:tc>
          <w:tcPr>
            <w:tcW w:w="1099" w:type="dxa"/>
            <w:tcBorders>
              <w:top w:val="single" w:sz="4" w:space="0" w:color="auto"/>
              <w:left w:val="single" w:sz="4" w:space="0" w:color="auto"/>
            </w:tcBorders>
          </w:tcPr>
          <w:p w:rsidR="00134974" w:rsidRPr="00942167" w:rsidRDefault="00983E76" w:rsidP="00CD3EAB">
            <w:pPr>
              <w:spacing w:after="0" w:line="240" w:lineRule="auto"/>
              <w:jc w:val="center"/>
              <w:rPr>
                <w:rFonts w:asciiTheme="minorHAnsi" w:hAnsiTheme="minorHAnsi"/>
              </w:rPr>
            </w:pPr>
            <w:r>
              <w:rPr>
                <w:rFonts w:asciiTheme="minorHAnsi" w:hAnsiTheme="minorHAnsi"/>
              </w:rPr>
              <w:t>15</w:t>
            </w:r>
          </w:p>
        </w:tc>
      </w:tr>
      <w:tr w:rsidR="00134974" w:rsidRPr="000D39D0" w:rsidTr="00134974">
        <w:tc>
          <w:tcPr>
            <w:tcW w:w="2583" w:type="dxa"/>
          </w:tcPr>
          <w:p w:rsidR="00134974" w:rsidRPr="000D39D0" w:rsidRDefault="00134974" w:rsidP="008A7E5D">
            <w:pPr>
              <w:spacing w:after="0" w:line="240" w:lineRule="auto"/>
              <w:rPr>
                <w:b/>
              </w:rPr>
            </w:pPr>
            <w:r w:rsidRPr="000D39D0">
              <w:rPr>
                <w:b/>
              </w:rPr>
              <w:t>No. de semanas que se le dedicarán a esta unidad</w:t>
            </w:r>
          </w:p>
        </w:tc>
        <w:tc>
          <w:tcPr>
            <w:tcW w:w="5777" w:type="dxa"/>
            <w:gridSpan w:val="2"/>
            <w:tcBorders>
              <w:top w:val="single" w:sz="4" w:space="0" w:color="auto"/>
            </w:tcBorders>
          </w:tcPr>
          <w:p w:rsidR="00134974" w:rsidRPr="000D39D0" w:rsidRDefault="00CD3EAB" w:rsidP="00CD3EAB">
            <w:r>
              <w:t>Aprox. 7 semanas</w:t>
            </w:r>
          </w:p>
        </w:tc>
      </w:tr>
      <w:tr w:rsidR="00134974" w:rsidRPr="006C6EB0" w:rsidTr="008A7E5D">
        <w:trPr>
          <w:trHeight w:val="559"/>
        </w:trPr>
        <w:tc>
          <w:tcPr>
            <w:tcW w:w="8360" w:type="dxa"/>
            <w:gridSpan w:val="3"/>
          </w:tcPr>
          <w:p w:rsidR="00134974" w:rsidRPr="00983E76" w:rsidRDefault="00134974" w:rsidP="008A7E5D">
            <w:pPr>
              <w:spacing w:after="0" w:line="240" w:lineRule="auto"/>
              <w:rPr>
                <w:rFonts w:asciiTheme="minorHAnsi" w:hAnsiTheme="minorHAnsi"/>
                <w:b/>
              </w:rPr>
            </w:pPr>
            <w:r w:rsidRPr="00983E76">
              <w:rPr>
                <w:rFonts w:asciiTheme="minorHAnsi" w:hAnsiTheme="minorHAnsi"/>
                <w:b/>
              </w:rPr>
              <w:t>BIBLIOGRAFÍA BÁSICA correspondiente a esta unidad:</w:t>
            </w:r>
          </w:p>
          <w:p w:rsidR="00134974" w:rsidRPr="00983E76" w:rsidRDefault="00983E76" w:rsidP="00983E76">
            <w:pPr>
              <w:rPr>
                <w:rFonts w:ascii="Arial" w:hAnsi="Arial"/>
                <w:lang w:val="en-US"/>
              </w:rPr>
            </w:pPr>
            <w:r w:rsidRPr="00983E76">
              <w:rPr>
                <w:rFonts w:asciiTheme="minorHAnsi" w:hAnsiTheme="minorHAnsi"/>
                <w:lang w:val="en-US"/>
              </w:rPr>
              <w:t>Johnston, J., J. Dinardo. Econometrics Methods. McGraw - Hill. Fourth Edition.1997.</w:t>
            </w:r>
          </w:p>
        </w:tc>
      </w:tr>
    </w:tbl>
    <w:p w:rsidR="00942167" w:rsidRPr="006C6EB0" w:rsidRDefault="00942167" w:rsidP="00942167">
      <w:pPr>
        <w:rPr>
          <w:b/>
        </w:rPr>
      </w:pPr>
    </w:p>
    <w:p w:rsidR="00942167" w:rsidRDefault="00CD3EAB" w:rsidP="00942167">
      <w:pPr>
        <w:rPr>
          <w:b/>
        </w:rPr>
      </w:pPr>
      <w:r>
        <w:rPr>
          <w:b/>
        </w:rPr>
        <w:t xml:space="preserve">Unidad No. </w:t>
      </w:r>
      <w:r w:rsidR="008923F6">
        <w:rPr>
          <w:b/>
        </w:rPr>
        <w:t>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680"/>
        <w:gridCol w:w="1099"/>
      </w:tblGrid>
      <w:tr w:rsidR="00983E76" w:rsidRPr="000D39D0" w:rsidTr="00983E76">
        <w:tc>
          <w:tcPr>
            <w:tcW w:w="2583" w:type="dxa"/>
          </w:tcPr>
          <w:p w:rsidR="00983E76" w:rsidRPr="000D39D0" w:rsidRDefault="00983E76" w:rsidP="008A7E5D">
            <w:pPr>
              <w:spacing w:after="0" w:line="240" w:lineRule="auto"/>
              <w:jc w:val="both"/>
              <w:rPr>
                <w:b/>
              </w:rPr>
            </w:pPr>
            <w:r w:rsidRPr="000D39D0">
              <w:rPr>
                <w:b/>
              </w:rPr>
              <w:t xml:space="preserve">Tema(s) a desarrollar </w:t>
            </w:r>
          </w:p>
        </w:tc>
        <w:tc>
          <w:tcPr>
            <w:tcW w:w="4680" w:type="dxa"/>
            <w:tcBorders>
              <w:right w:val="single" w:sz="4" w:space="0" w:color="auto"/>
            </w:tcBorders>
          </w:tcPr>
          <w:p w:rsidR="00983E76" w:rsidRPr="00983E76" w:rsidRDefault="00983E76" w:rsidP="00724EF8">
            <w:pPr>
              <w:spacing w:after="0"/>
              <w:jc w:val="both"/>
              <w:rPr>
                <w:rFonts w:asciiTheme="minorHAnsi" w:hAnsiTheme="minorHAnsi"/>
                <w:sz w:val="24"/>
                <w:szCs w:val="24"/>
              </w:rPr>
            </w:pPr>
            <w:r w:rsidRPr="00983E76">
              <w:rPr>
                <w:rFonts w:asciiTheme="minorHAnsi" w:hAnsiTheme="minorHAnsi"/>
              </w:rPr>
              <w:t xml:space="preserve">Modelos Econométricos Dinámicos. Modelos Autorregresivos y de Rezagos distribuidos (ADL). Exogeneidad. Regresores no estacionarios. Introducción a </w:t>
            </w:r>
            <w:smartTag w:uri="urn:schemas-microsoft-com:office:smarttags" w:element="PersonName">
              <w:smartTagPr>
                <w:attr w:name="ProductID" w:val="la Cointegraci￳n."/>
              </w:smartTagPr>
              <w:r w:rsidRPr="00983E76">
                <w:rPr>
                  <w:rFonts w:asciiTheme="minorHAnsi" w:hAnsiTheme="minorHAnsi"/>
                </w:rPr>
                <w:t>la Cointegración.</w:t>
              </w:r>
            </w:smartTag>
          </w:p>
        </w:tc>
        <w:tc>
          <w:tcPr>
            <w:tcW w:w="1099" w:type="dxa"/>
            <w:tcBorders>
              <w:left w:val="single" w:sz="4" w:space="0" w:color="auto"/>
            </w:tcBorders>
          </w:tcPr>
          <w:p w:rsidR="00983E76" w:rsidRPr="00983E76" w:rsidRDefault="00983E76" w:rsidP="008A7E5D">
            <w:r w:rsidRPr="00983E76">
              <w:t>Sesión</w:t>
            </w:r>
          </w:p>
        </w:tc>
      </w:tr>
      <w:tr w:rsidR="00983E76" w:rsidRPr="000D39D0" w:rsidTr="00983E76">
        <w:trPr>
          <w:trHeight w:val="122"/>
        </w:trPr>
        <w:tc>
          <w:tcPr>
            <w:tcW w:w="2583" w:type="dxa"/>
            <w:vMerge w:val="restart"/>
          </w:tcPr>
          <w:p w:rsidR="00983E76" w:rsidRPr="000D39D0" w:rsidRDefault="00983E76" w:rsidP="008A7E5D">
            <w:pPr>
              <w:spacing w:after="0" w:line="240" w:lineRule="auto"/>
              <w:jc w:val="both"/>
              <w:rPr>
                <w:b/>
              </w:rPr>
            </w:pPr>
            <w:r w:rsidRPr="000D39D0">
              <w:rPr>
                <w:b/>
              </w:rPr>
              <w:t>Subtemas</w:t>
            </w:r>
          </w:p>
          <w:p w:rsidR="00983E76" w:rsidRPr="000D39D0" w:rsidRDefault="00983E76" w:rsidP="008A7E5D">
            <w:pPr>
              <w:spacing w:after="0" w:line="240" w:lineRule="auto"/>
              <w:jc w:val="both"/>
              <w:rPr>
                <w:b/>
              </w:rPr>
            </w:pPr>
          </w:p>
          <w:p w:rsidR="00983E76" w:rsidRPr="000D39D0" w:rsidRDefault="00983E76" w:rsidP="008A7E5D">
            <w:pPr>
              <w:spacing w:after="0" w:line="240" w:lineRule="auto"/>
              <w:jc w:val="both"/>
              <w:rPr>
                <w:b/>
              </w:rPr>
            </w:pPr>
          </w:p>
        </w:tc>
        <w:tc>
          <w:tcPr>
            <w:tcW w:w="4680" w:type="dxa"/>
            <w:tcBorders>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Introducción. Equilibrio estático y dinámico</w:t>
            </w:r>
          </w:p>
        </w:tc>
        <w:tc>
          <w:tcPr>
            <w:tcW w:w="1099" w:type="dxa"/>
            <w:tcBorders>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16</w:t>
            </w:r>
          </w:p>
        </w:tc>
      </w:tr>
      <w:tr w:rsidR="00983E76" w:rsidRPr="000D39D0" w:rsidTr="00983E76">
        <w:trPr>
          <w:trHeight w:val="154"/>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Pruebas y especificaciones.</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17</w:t>
            </w:r>
          </w:p>
        </w:tc>
      </w:tr>
      <w:tr w:rsidR="00983E76" w:rsidRPr="000D39D0" w:rsidTr="00983E76">
        <w:trPr>
          <w:trHeight w:val="154"/>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Exogeneidad. Pruebas</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18</w:t>
            </w:r>
          </w:p>
        </w:tc>
      </w:tr>
      <w:tr w:rsidR="00983E76" w:rsidRPr="000D39D0" w:rsidTr="00983E76">
        <w:trPr>
          <w:trHeight w:val="171"/>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Prueba de Wu – Hausman. Ejercicios.</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19</w:t>
            </w:r>
          </w:p>
        </w:tc>
      </w:tr>
      <w:tr w:rsidR="00983E76" w:rsidRPr="000D39D0" w:rsidTr="00983E76">
        <w:trPr>
          <w:trHeight w:val="137"/>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 w:val="left" w:pos="3086"/>
              </w:tabs>
              <w:spacing w:after="0" w:line="240" w:lineRule="auto"/>
              <w:jc w:val="both"/>
              <w:rPr>
                <w:rFonts w:asciiTheme="minorHAnsi" w:eastAsia="Arial Unicode MS" w:hAnsiTheme="minorHAnsi"/>
                <w:sz w:val="24"/>
                <w:szCs w:val="24"/>
              </w:rPr>
            </w:pPr>
            <w:r w:rsidRPr="008923F6">
              <w:rPr>
                <w:rFonts w:asciiTheme="minorHAnsi" w:hAnsiTheme="minorHAnsi"/>
              </w:rPr>
              <w:t>Regresores no estacionarios. Introducción. Ejemplos</w:t>
            </w:r>
            <w:r w:rsidR="00983E76" w:rsidRPr="008923F6">
              <w:rPr>
                <w:rFonts w:asciiTheme="minorHAnsi" w:hAnsiTheme="minorHAnsi"/>
              </w:rPr>
              <w:t>.</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20</w:t>
            </w:r>
          </w:p>
        </w:tc>
      </w:tr>
      <w:tr w:rsidR="00983E76" w:rsidRPr="000D39D0" w:rsidTr="00983E76">
        <w:trPr>
          <w:trHeight w:val="154"/>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Cointegración. Estimación y pruebas de cointegración</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21</w:t>
            </w:r>
          </w:p>
        </w:tc>
      </w:tr>
      <w:tr w:rsidR="00983E76" w:rsidRPr="000D39D0" w:rsidTr="00983E76">
        <w:trPr>
          <w:trHeight w:val="122"/>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Una relación general ADL. Reparametrización.</w:t>
            </w:r>
          </w:p>
        </w:tc>
        <w:tc>
          <w:tcPr>
            <w:tcW w:w="1099" w:type="dxa"/>
            <w:tcBorders>
              <w:top w:val="single" w:sz="4" w:space="0" w:color="auto"/>
              <w:left w:val="single" w:sz="4" w:space="0" w:color="auto"/>
              <w:bottom w:val="single" w:sz="4" w:space="0" w:color="auto"/>
            </w:tcBorders>
          </w:tcPr>
          <w:p w:rsidR="00983E76" w:rsidRPr="004B5799" w:rsidRDefault="008923F6" w:rsidP="00942167">
            <w:pPr>
              <w:pStyle w:val="Prrafodelista"/>
              <w:tabs>
                <w:tab w:val="left" w:pos="317"/>
              </w:tabs>
              <w:spacing w:after="0" w:line="240" w:lineRule="auto"/>
              <w:ind w:left="317"/>
              <w:jc w:val="both"/>
              <w:rPr>
                <w:rFonts w:eastAsia="Arial Unicode MS"/>
                <w:sz w:val="24"/>
                <w:szCs w:val="24"/>
              </w:rPr>
            </w:pPr>
            <w:r>
              <w:rPr>
                <w:rFonts w:eastAsia="Arial Unicode MS"/>
                <w:sz w:val="24"/>
                <w:szCs w:val="24"/>
              </w:rPr>
              <w:t>22</w:t>
            </w:r>
          </w:p>
        </w:tc>
      </w:tr>
      <w:tr w:rsidR="00983E76" w:rsidRPr="000D39D0" w:rsidTr="00983E76">
        <w:trPr>
          <w:trHeight w:val="105"/>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Ejercicios sobre reparametrización de un modelo ADL</w:t>
            </w:r>
          </w:p>
        </w:tc>
        <w:tc>
          <w:tcPr>
            <w:tcW w:w="1099" w:type="dxa"/>
            <w:tcBorders>
              <w:top w:val="single" w:sz="4" w:space="0" w:color="auto"/>
              <w:left w:val="single" w:sz="4" w:space="0" w:color="auto"/>
              <w:bottom w:val="single" w:sz="4" w:space="0" w:color="auto"/>
            </w:tcBorders>
          </w:tcPr>
          <w:p w:rsidR="00983E76" w:rsidRPr="00983E76" w:rsidRDefault="008923F6" w:rsidP="00942167">
            <w:pPr>
              <w:pStyle w:val="Prrafodelista"/>
              <w:tabs>
                <w:tab w:val="left" w:pos="317"/>
              </w:tabs>
              <w:spacing w:after="0" w:line="240" w:lineRule="auto"/>
              <w:ind w:left="317"/>
              <w:jc w:val="both"/>
              <w:rPr>
                <w:rFonts w:asciiTheme="minorHAnsi" w:eastAsia="Arial Unicode MS" w:hAnsiTheme="minorHAnsi"/>
                <w:sz w:val="24"/>
                <w:szCs w:val="24"/>
              </w:rPr>
            </w:pPr>
            <w:r>
              <w:rPr>
                <w:rFonts w:asciiTheme="minorHAnsi" w:eastAsia="Arial Unicode MS" w:hAnsiTheme="minorHAnsi"/>
                <w:sz w:val="24"/>
                <w:szCs w:val="24"/>
              </w:rPr>
              <w:t>23</w:t>
            </w:r>
          </w:p>
        </w:tc>
      </w:tr>
      <w:tr w:rsidR="00983E76" w:rsidRPr="000D39D0" w:rsidTr="00983E76">
        <w:trPr>
          <w:trHeight w:val="172"/>
        </w:trPr>
        <w:tc>
          <w:tcPr>
            <w:tcW w:w="2583" w:type="dxa"/>
            <w:vMerge/>
          </w:tcPr>
          <w:p w:rsidR="00983E76" w:rsidRPr="000D39D0" w:rsidRDefault="00983E76" w:rsidP="008A7E5D">
            <w:pPr>
              <w:spacing w:after="0" w:line="240" w:lineRule="auto"/>
              <w:jc w:val="both"/>
              <w:rPr>
                <w:b/>
              </w:rPr>
            </w:pPr>
          </w:p>
        </w:tc>
        <w:tc>
          <w:tcPr>
            <w:tcW w:w="4680" w:type="dxa"/>
            <w:tcBorders>
              <w:top w:val="single" w:sz="4" w:space="0" w:color="auto"/>
              <w:bottom w:val="single" w:sz="4" w:space="0" w:color="auto"/>
              <w:right w:val="single" w:sz="4" w:space="0" w:color="auto"/>
            </w:tcBorders>
          </w:tcPr>
          <w:p w:rsidR="00983E76" w:rsidRPr="008923F6" w:rsidRDefault="008923F6" w:rsidP="00983E76">
            <w:pPr>
              <w:tabs>
                <w:tab w:val="left" w:pos="317"/>
              </w:tabs>
              <w:spacing w:after="0" w:line="240" w:lineRule="auto"/>
              <w:jc w:val="both"/>
              <w:rPr>
                <w:rFonts w:asciiTheme="minorHAnsi" w:eastAsia="Arial Unicode MS" w:hAnsiTheme="minorHAnsi"/>
                <w:sz w:val="24"/>
                <w:szCs w:val="24"/>
              </w:rPr>
            </w:pPr>
            <w:r w:rsidRPr="008923F6">
              <w:rPr>
                <w:rFonts w:asciiTheme="minorHAnsi" w:hAnsiTheme="minorHAnsi"/>
              </w:rPr>
              <w:t>Modelos no anidados</w:t>
            </w:r>
          </w:p>
        </w:tc>
        <w:tc>
          <w:tcPr>
            <w:tcW w:w="1099" w:type="dxa"/>
            <w:tcBorders>
              <w:top w:val="single" w:sz="4" w:space="0" w:color="auto"/>
              <w:left w:val="single" w:sz="4" w:space="0" w:color="auto"/>
              <w:bottom w:val="single" w:sz="4" w:space="0" w:color="auto"/>
            </w:tcBorders>
          </w:tcPr>
          <w:p w:rsidR="00983E76" w:rsidRPr="00983E76" w:rsidRDefault="008923F6" w:rsidP="00942167">
            <w:pPr>
              <w:pStyle w:val="Prrafodelista"/>
              <w:tabs>
                <w:tab w:val="left" w:pos="317"/>
              </w:tabs>
              <w:spacing w:after="0" w:line="240" w:lineRule="auto"/>
              <w:ind w:left="317"/>
              <w:jc w:val="both"/>
              <w:rPr>
                <w:rFonts w:asciiTheme="minorHAnsi" w:eastAsia="Arial Unicode MS" w:hAnsiTheme="minorHAnsi"/>
                <w:sz w:val="24"/>
                <w:szCs w:val="24"/>
              </w:rPr>
            </w:pPr>
            <w:r>
              <w:rPr>
                <w:rFonts w:asciiTheme="minorHAnsi" w:eastAsia="Arial Unicode MS" w:hAnsiTheme="minorHAnsi"/>
                <w:sz w:val="24"/>
                <w:szCs w:val="24"/>
              </w:rPr>
              <w:t>24</w:t>
            </w:r>
          </w:p>
        </w:tc>
      </w:tr>
      <w:tr w:rsidR="00942167" w:rsidRPr="000D39D0" w:rsidTr="00983E76">
        <w:tc>
          <w:tcPr>
            <w:tcW w:w="2583" w:type="dxa"/>
          </w:tcPr>
          <w:p w:rsidR="00942167" w:rsidRPr="000D39D0" w:rsidRDefault="00942167" w:rsidP="008A7E5D">
            <w:pPr>
              <w:spacing w:after="0" w:line="240" w:lineRule="auto"/>
              <w:rPr>
                <w:b/>
              </w:rPr>
            </w:pPr>
            <w:r w:rsidRPr="000D39D0">
              <w:rPr>
                <w:b/>
              </w:rPr>
              <w:t>No. de semanas que se le dedicarán a esta unidad</w:t>
            </w:r>
          </w:p>
        </w:tc>
        <w:tc>
          <w:tcPr>
            <w:tcW w:w="5779" w:type="dxa"/>
            <w:gridSpan w:val="2"/>
          </w:tcPr>
          <w:p w:rsidR="00942167" w:rsidRPr="000D39D0" w:rsidRDefault="00CD3EAB" w:rsidP="00CD3EAB">
            <w:pPr>
              <w:tabs>
                <w:tab w:val="left" w:pos="317"/>
              </w:tabs>
              <w:spacing w:after="0" w:line="240" w:lineRule="auto"/>
              <w:jc w:val="both"/>
            </w:pPr>
            <w:r w:rsidRPr="00CD3EAB">
              <w:rPr>
                <w:rFonts w:asciiTheme="minorHAnsi" w:hAnsiTheme="minorHAnsi"/>
              </w:rPr>
              <w:t>Aprox. 4 semanas</w:t>
            </w:r>
          </w:p>
        </w:tc>
      </w:tr>
      <w:tr w:rsidR="00942167" w:rsidRPr="000D39D0" w:rsidTr="00575E7D">
        <w:trPr>
          <w:trHeight w:val="706"/>
        </w:trPr>
        <w:tc>
          <w:tcPr>
            <w:tcW w:w="8362" w:type="dxa"/>
            <w:gridSpan w:val="3"/>
          </w:tcPr>
          <w:p w:rsidR="00942167" w:rsidRDefault="00942167" w:rsidP="008A7E5D">
            <w:pPr>
              <w:spacing w:after="0" w:line="240" w:lineRule="auto"/>
              <w:rPr>
                <w:sz w:val="24"/>
                <w:szCs w:val="24"/>
              </w:rPr>
            </w:pPr>
            <w:r w:rsidRPr="000D39D0">
              <w:rPr>
                <w:b/>
              </w:rPr>
              <w:t>BIBLIOGRAFÍA BÁSICA correspondiente a esta unidad:</w:t>
            </w:r>
            <w:r w:rsidRPr="000B6343">
              <w:rPr>
                <w:sz w:val="24"/>
                <w:szCs w:val="24"/>
              </w:rPr>
              <w:t xml:space="preserve"> </w:t>
            </w:r>
          </w:p>
          <w:p w:rsidR="00942167" w:rsidRPr="008923F6" w:rsidRDefault="00983E76" w:rsidP="00983E76">
            <w:pPr>
              <w:rPr>
                <w:rFonts w:asciiTheme="minorHAnsi" w:hAnsiTheme="minorHAnsi"/>
              </w:rPr>
            </w:pPr>
            <w:r w:rsidRPr="008923F6">
              <w:rPr>
                <w:rFonts w:asciiTheme="minorHAnsi" w:hAnsiTheme="minorHAnsi"/>
                <w:lang w:val="en-US"/>
              </w:rPr>
              <w:t>Johnston, J., J. Dinardo. Econometrics Methods. McGraw - Hill. Fourth Edition.1997.</w:t>
            </w:r>
          </w:p>
        </w:tc>
      </w:tr>
    </w:tbl>
    <w:p w:rsidR="00942167" w:rsidRDefault="00942167" w:rsidP="00942167">
      <w:pPr>
        <w:tabs>
          <w:tab w:val="right" w:pos="8508"/>
        </w:tabs>
        <w:rPr>
          <w:b/>
        </w:rPr>
      </w:pPr>
    </w:p>
    <w:p w:rsidR="008923F6" w:rsidRDefault="00CD3EAB" w:rsidP="00942167">
      <w:pPr>
        <w:tabs>
          <w:tab w:val="right" w:pos="8508"/>
        </w:tabs>
        <w:rPr>
          <w:b/>
        </w:rPr>
      </w:pPr>
      <w:r>
        <w:rPr>
          <w:b/>
        </w:rPr>
        <w:t xml:space="preserve">Unidad No. </w:t>
      </w:r>
      <w:r w:rsidR="008923F6">
        <w:rPr>
          <w:b/>
        </w:rPr>
        <w:t>3</w:t>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2"/>
        <w:gridCol w:w="4679"/>
        <w:gridCol w:w="1114"/>
      </w:tblGrid>
      <w:tr w:rsidR="008923F6" w:rsidRPr="000D39D0" w:rsidTr="00575E7D">
        <w:trPr>
          <w:trHeight w:val="1125"/>
        </w:trPr>
        <w:tc>
          <w:tcPr>
            <w:tcW w:w="2582" w:type="dxa"/>
          </w:tcPr>
          <w:p w:rsidR="008923F6" w:rsidRPr="000D39D0" w:rsidRDefault="008923F6" w:rsidP="008A7E5D">
            <w:pPr>
              <w:spacing w:after="0" w:line="240" w:lineRule="auto"/>
              <w:jc w:val="both"/>
              <w:rPr>
                <w:b/>
              </w:rPr>
            </w:pPr>
            <w:r w:rsidRPr="000D39D0">
              <w:rPr>
                <w:b/>
              </w:rPr>
              <w:lastRenderedPageBreak/>
              <w:t xml:space="preserve">Tema(s) a desarrollar </w:t>
            </w:r>
          </w:p>
        </w:tc>
        <w:tc>
          <w:tcPr>
            <w:tcW w:w="4679" w:type="dxa"/>
            <w:tcBorders>
              <w:right w:val="single" w:sz="4" w:space="0" w:color="auto"/>
            </w:tcBorders>
          </w:tcPr>
          <w:p w:rsidR="008923F6" w:rsidRPr="008923F6" w:rsidRDefault="008923F6" w:rsidP="00724EF8">
            <w:pPr>
              <w:spacing w:after="0"/>
              <w:ind w:left="35"/>
              <w:jc w:val="both"/>
              <w:rPr>
                <w:rFonts w:asciiTheme="minorHAnsi" w:hAnsiTheme="minorHAnsi"/>
              </w:rPr>
            </w:pPr>
            <w:r w:rsidRPr="008923F6">
              <w:rPr>
                <w:rFonts w:asciiTheme="minorHAnsi" w:hAnsiTheme="minorHAnsi"/>
              </w:rPr>
              <w:t xml:space="preserve">Modelos de Ecuaciones Múltiples. Modelos VAR. Modelos de  corrección de Error. Modelos de Ecuaciones Simultaneas estructurales. Metodología SUR. </w:t>
            </w:r>
          </w:p>
        </w:tc>
        <w:tc>
          <w:tcPr>
            <w:tcW w:w="1114" w:type="dxa"/>
            <w:tcBorders>
              <w:left w:val="single" w:sz="4" w:space="0" w:color="auto"/>
            </w:tcBorders>
          </w:tcPr>
          <w:p w:rsidR="008923F6" w:rsidRPr="00983E76" w:rsidRDefault="008923F6" w:rsidP="008A7E5D">
            <w:pPr>
              <w:spacing w:after="0" w:line="240" w:lineRule="auto"/>
              <w:jc w:val="both"/>
            </w:pPr>
            <w:r w:rsidRPr="00983E76">
              <w:t xml:space="preserve">Sesión </w:t>
            </w:r>
          </w:p>
        </w:tc>
      </w:tr>
      <w:tr w:rsidR="008923F6" w:rsidRPr="008A7E5D" w:rsidTr="008A7E5D">
        <w:trPr>
          <w:trHeight w:val="257"/>
        </w:trPr>
        <w:tc>
          <w:tcPr>
            <w:tcW w:w="2582" w:type="dxa"/>
            <w:vMerge w:val="restart"/>
          </w:tcPr>
          <w:p w:rsidR="008923F6" w:rsidRPr="000D39D0" w:rsidRDefault="008923F6" w:rsidP="008A7E5D">
            <w:pPr>
              <w:spacing w:after="0" w:line="240" w:lineRule="auto"/>
              <w:jc w:val="both"/>
              <w:rPr>
                <w:b/>
              </w:rPr>
            </w:pPr>
            <w:r w:rsidRPr="000D39D0">
              <w:rPr>
                <w:b/>
              </w:rPr>
              <w:t>Subtemas</w:t>
            </w:r>
          </w:p>
          <w:p w:rsidR="008923F6" w:rsidRPr="000D39D0" w:rsidRDefault="008923F6" w:rsidP="008A7E5D">
            <w:pPr>
              <w:spacing w:after="0" w:line="240" w:lineRule="auto"/>
              <w:jc w:val="both"/>
              <w:rPr>
                <w:b/>
              </w:rPr>
            </w:pPr>
          </w:p>
        </w:tc>
        <w:tc>
          <w:tcPr>
            <w:tcW w:w="4679" w:type="dxa"/>
            <w:tcBorders>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Modelos VAR. Un modelo VAR simple</w:t>
            </w:r>
          </w:p>
        </w:tc>
        <w:tc>
          <w:tcPr>
            <w:tcW w:w="1114" w:type="dxa"/>
            <w:tcBorders>
              <w:left w:val="single" w:sz="4" w:space="0" w:color="auto"/>
              <w:bottom w:val="single" w:sz="4" w:space="0" w:color="auto"/>
            </w:tcBorders>
          </w:tcPr>
          <w:p w:rsidR="008923F6" w:rsidRPr="008A7E5D" w:rsidRDefault="008A7E5D" w:rsidP="00724EF8">
            <w:pPr>
              <w:spacing w:after="0"/>
              <w:jc w:val="center"/>
              <w:rPr>
                <w:rFonts w:asciiTheme="minorHAnsi" w:hAnsiTheme="minorHAnsi"/>
              </w:rPr>
            </w:pPr>
            <w:r>
              <w:rPr>
                <w:rFonts w:asciiTheme="minorHAnsi" w:hAnsiTheme="minorHAnsi"/>
              </w:rPr>
              <w:t>25</w:t>
            </w:r>
          </w:p>
        </w:tc>
      </w:tr>
      <w:tr w:rsidR="008923F6" w:rsidRPr="008A7E5D" w:rsidTr="008A7E5D">
        <w:trPr>
          <w:trHeight w:val="235"/>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Un modelo VAR con tres variables. Sistemas de orden p</w:t>
            </w:r>
          </w:p>
        </w:tc>
        <w:tc>
          <w:tcPr>
            <w:tcW w:w="1114" w:type="dxa"/>
            <w:tcBorders>
              <w:top w:val="single" w:sz="4" w:space="0" w:color="auto"/>
              <w:left w:val="single" w:sz="4" w:space="0" w:color="auto"/>
              <w:bottom w:val="single" w:sz="4" w:space="0" w:color="auto"/>
            </w:tcBorders>
          </w:tcPr>
          <w:p w:rsidR="008923F6" w:rsidRPr="008A7E5D" w:rsidRDefault="008A7E5D" w:rsidP="008A7E5D">
            <w:pPr>
              <w:jc w:val="center"/>
              <w:rPr>
                <w:rFonts w:asciiTheme="minorHAnsi" w:hAnsiTheme="minorHAnsi"/>
              </w:rPr>
            </w:pPr>
            <w:r>
              <w:rPr>
                <w:rFonts w:asciiTheme="minorHAnsi" w:hAnsiTheme="minorHAnsi"/>
              </w:rPr>
              <w:t>26</w:t>
            </w:r>
          </w:p>
        </w:tc>
      </w:tr>
      <w:tr w:rsidR="008923F6" w:rsidRPr="008A7E5D" w:rsidTr="008A7E5D">
        <w:trPr>
          <w:trHeight w:val="252"/>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Estimación de modelos VAR. Pruebas para el orden del VAR</w:t>
            </w:r>
          </w:p>
        </w:tc>
        <w:tc>
          <w:tcPr>
            <w:tcW w:w="1114" w:type="dxa"/>
            <w:tcBorders>
              <w:top w:val="single" w:sz="4" w:space="0" w:color="auto"/>
              <w:left w:val="single" w:sz="4" w:space="0" w:color="auto"/>
              <w:bottom w:val="single" w:sz="4" w:space="0" w:color="auto"/>
            </w:tcBorders>
          </w:tcPr>
          <w:p w:rsidR="008923F6" w:rsidRPr="008A7E5D" w:rsidRDefault="008A7E5D" w:rsidP="008A7E5D">
            <w:pPr>
              <w:jc w:val="center"/>
              <w:rPr>
                <w:rFonts w:asciiTheme="minorHAnsi" w:hAnsiTheme="minorHAnsi"/>
              </w:rPr>
            </w:pPr>
            <w:r>
              <w:rPr>
                <w:rFonts w:asciiTheme="minorHAnsi" w:hAnsiTheme="minorHAnsi"/>
              </w:rPr>
              <w:t>27</w:t>
            </w:r>
          </w:p>
        </w:tc>
      </w:tr>
      <w:tr w:rsidR="008923F6" w:rsidRPr="008A7E5D" w:rsidTr="008A7E5D">
        <w:trPr>
          <w:trHeight w:val="240"/>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Validación de un modelo VAR. Ejercicios</w:t>
            </w:r>
          </w:p>
        </w:tc>
        <w:tc>
          <w:tcPr>
            <w:tcW w:w="1114" w:type="dxa"/>
            <w:tcBorders>
              <w:top w:val="single" w:sz="4" w:space="0" w:color="auto"/>
              <w:left w:val="single" w:sz="4" w:space="0" w:color="auto"/>
              <w:bottom w:val="single" w:sz="4" w:space="0" w:color="auto"/>
            </w:tcBorders>
          </w:tcPr>
          <w:p w:rsidR="008923F6" w:rsidRPr="008A7E5D" w:rsidRDefault="008A7E5D" w:rsidP="00724EF8">
            <w:pPr>
              <w:spacing w:after="0"/>
              <w:jc w:val="center"/>
              <w:rPr>
                <w:rFonts w:asciiTheme="minorHAnsi" w:hAnsiTheme="minorHAnsi"/>
              </w:rPr>
            </w:pPr>
            <w:r>
              <w:rPr>
                <w:rFonts w:asciiTheme="minorHAnsi" w:hAnsiTheme="minorHAnsi"/>
              </w:rPr>
              <w:t>28</w:t>
            </w:r>
          </w:p>
        </w:tc>
      </w:tr>
      <w:tr w:rsidR="008923F6" w:rsidRPr="008A7E5D" w:rsidTr="008A7E5D">
        <w:trPr>
          <w:trHeight w:val="252"/>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Prueba de causalidad de Granger, pronósticos, función de respuesta al impulso.</w:t>
            </w:r>
          </w:p>
        </w:tc>
        <w:tc>
          <w:tcPr>
            <w:tcW w:w="1114" w:type="dxa"/>
            <w:tcBorders>
              <w:top w:val="single" w:sz="4" w:space="0" w:color="auto"/>
              <w:left w:val="single" w:sz="4" w:space="0" w:color="auto"/>
              <w:bottom w:val="single" w:sz="4" w:space="0" w:color="auto"/>
            </w:tcBorders>
          </w:tcPr>
          <w:p w:rsidR="008923F6" w:rsidRPr="008A7E5D" w:rsidRDefault="008A7E5D" w:rsidP="008A7E5D">
            <w:pPr>
              <w:jc w:val="center"/>
              <w:rPr>
                <w:rFonts w:asciiTheme="minorHAnsi" w:hAnsiTheme="minorHAnsi"/>
              </w:rPr>
            </w:pPr>
            <w:r>
              <w:rPr>
                <w:rFonts w:asciiTheme="minorHAnsi" w:hAnsiTheme="minorHAnsi"/>
              </w:rPr>
              <w:t>29</w:t>
            </w:r>
          </w:p>
        </w:tc>
      </w:tr>
      <w:tr w:rsidR="008923F6" w:rsidRPr="008A7E5D" w:rsidTr="008A7E5D">
        <w:trPr>
          <w:trHeight w:val="200"/>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Descomposición de la varianza. Modelos de corrección de errores. Pruebas de cointegración. Estimación</w:t>
            </w:r>
          </w:p>
        </w:tc>
        <w:tc>
          <w:tcPr>
            <w:tcW w:w="1114" w:type="dxa"/>
            <w:tcBorders>
              <w:top w:val="single" w:sz="4" w:space="0" w:color="auto"/>
              <w:left w:val="single" w:sz="4" w:space="0" w:color="auto"/>
              <w:bottom w:val="single" w:sz="4" w:space="0" w:color="auto"/>
            </w:tcBorders>
          </w:tcPr>
          <w:p w:rsidR="008923F6" w:rsidRPr="008A7E5D" w:rsidRDefault="008A7E5D" w:rsidP="008A7E5D">
            <w:pPr>
              <w:jc w:val="center"/>
              <w:rPr>
                <w:rFonts w:asciiTheme="minorHAnsi" w:hAnsiTheme="minorHAnsi"/>
              </w:rPr>
            </w:pPr>
            <w:r>
              <w:rPr>
                <w:rFonts w:asciiTheme="minorHAnsi" w:hAnsiTheme="minorHAnsi"/>
              </w:rPr>
              <w:t>30</w:t>
            </w:r>
          </w:p>
        </w:tc>
      </w:tr>
      <w:tr w:rsidR="008923F6" w:rsidRPr="008A7E5D" w:rsidTr="008923F6">
        <w:trPr>
          <w:trHeight w:val="292"/>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Ejercicios. Análisis de resultados</w:t>
            </w:r>
          </w:p>
        </w:tc>
        <w:tc>
          <w:tcPr>
            <w:tcW w:w="1114" w:type="dxa"/>
            <w:tcBorders>
              <w:top w:val="single" w:sz="4" w:space="0" w:color="auto"/>
              <w:left w:val="single" w:sz="4" w:space="0" w:color="auto"/>
              <w:bottom w:val="single" w:sz="4" w:space="0" w:color="auto"/>
            </w:tcBorders>
          </w:tcPr>
          <w:p w:rsidR="008923F6" w:rsidRPr="008A7E5D" w:rsidRDefault="008A7E5D" w:rsidP="00724EF8">
            <w:pPr>
              <w:spacing w:after="0"/>
              <w:jc w:val="center"/>
              <w:rPr>
                <w:rFonts w:asciiTheme="minorHAnsi" w:hAnsiTheme="minorHAnsi"/>
              </w:rPr>
            </w:pPr>
            <w:r>
              <w:rPr>
                <w:rFonts w:asciiTheme="minorHAnsi" w:hAnsiTheme="minorHAnsi"/>
              </w:rPr>
              <w:t>31</w:t>
            </w:r>
          </w:p>
        </w:tc>
      </w:tr>
      <w:tr w:rsidR="008923F6" w:rsidRPr="008A7E5D" w:rsidTr="008A7E5D">
        <w:trPr>
          <w:trHeight w:val="200"/>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Modelos de Ecuaciones Simultáneas estructurales. Introducción</w:t>
            </w:r>
          </w:p>
        </w:tc>
        <w:tc>
          <w:tcPr>
            <w:tcW w:w="1114" w:type="dxa"/>
            <w:tcBorders>
              <w:top w:val="single" w:sz="4" w:space="0" w:color="auto"/>
              <w:left w:val="single" w:sz="4" w:space="0" w:color="auto"/>
            </w:tcBorders>
          </w:tcPr>
          <w:p w:rsidR="008923F6" w:rsidRPr="008A7E5D" w:rsidRDefault="008A7E5D" w:rsidP="008A7E5D">
            <w:pPr>
              <w:jc w:val="center"/>
              <w:rPr>
                <w:rFonts w:asciiTheme="minorHAnsi" w:hAnsiTheme="minorHAnsi"/>
              </w:rPr>
            </w:pPr>
            <w:r>
              <w:rPr>
                <w:rFonts w:asciiTheme="minorHAnsi" w:hAnsiTheme="minorHAnsi"/>
              </w:rPr>
              <w:t>32</w:t>
            </w:r>
          </w:p>
        </w:tc>
      </w:tr>
      <w:tr w:rsidR="008923F6" w:rsidRPr="008A7E5D" w:rsidTr="008923F6">
        <w:trPr>
          <w:trHeight w:val="189"/>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923F6" w:rsidP="008A7E5D">
            <w:pPr>
              <w:spacing w:after="0"/>
              <w:jc w:val="both"/>
              <w:rPr>
                <w:rFonts w:asciiTheme="minorHAnsi" w:hAnsiTheme="minorHAnsi"/>
              </w:rPr>
            </w:pPr>
            <w:r w:rsidRPr="008A7E5D">
              <w:rPr>
                <w:rFonts w:asciiTheme="minorHAnsi" w:hAnsiTheme="minorHAnsi"/>
              </w:rPr>
              <w:t>Identificación. Condiciones</w:t>
            </w:r>
          </w:p>
        </w:tc>
        <w:tc>
          <w:tcPr>
            <w:tcW w:w="1114" w:type="dxa"/>
            <w:tcBorders>
              <w:top w:val="single" w:sz="4" w:space="0" w:color="auto"/>
              <w:left w:val="single" w:sz="4" w:space="0" w:color="auto"/>
              <w:bottom w:val="single" w:sz="4" w:space="0" w:color="auto"/>
            </w:tcBorders>
          </w:tcPr>
          <w:p w:rsidR="008923F6" w:rsidRPr="008A7E5D" w:rsidRDefault="008A7E5D" w:rsidP="00724EF8">
            <w:pPr>
              <w:spacing w:after="0"/>
              <w:jc w:val="center"/>
              <w:rPr>
                <w:rFonts w:asciiTheme="minorHAnsi" w:hAnsiTheme="minorHAnsi"/>
              </w:rPr>
            </w:pPr>
            <w:r>
              <w:rPr>
                <w:rFonts w:asciiTheme="minorHAnsi" w:hAnsiTheme="minorHAnsi"/>
              </w:rPr>
              <w:t>33</w:t>
            </w:r>
          </w:p>
        </w:tc>
      </w:tr>
      <w:tr w:rsidR="008A7E5D" w:rsidRPr="008A7E5D" w:rsidTr="008A7E5D">
        <w:trPr>
          <w:trHeight w:val="257"/>
        </w:trPr>
        <w:tc>
          <w:tcPr>
            <w:tcW w:w="2582" w:type="dxa"/>
            <w:vMerge/>
          </w:tcPr>
          <w:p w:rsidR="008A7E5D" w:rsidRPr="000D39D0" w:rsidRDefault="008A7E5D"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A7E5D" w:rsidRPr="008A7E5D" w:rsidRDefault="008A7E5D" w:rsidP="008A7E5D">
            <w:pPr>
              <w:spacing w:after="0"/>
              <w:jc w:val="both"/>
              <w:rPr>
                <w:rFonts w:asciiTheme="minorHAnsi" w:hAnsiTheme="minorHAnsi"/>
              </w:rPr>
            </w:pPr>
            <w:r w:rsidRPr="008A7E5D">
              <w:rPr>
                <w:rFonts w:asciiTheme="minorHAnsi" w:hAnsiTheme="minorHAnsi"/>
              </w:rPr>
              <w:t>Estimación. Problemas</w:t>
            </w:r>
          </w:p>
        </w:tc>
        <w:tc>
          <w:tcPr>
            <w:tcW w:w="1114" w:type="dxa"/>
            <w:tcBorders>
              <w:top w:val="single" w:sz="4" w:space="0" w:color="auto"/>
              <w:left w:val="single" w:sz="4" w:space="0" w:color="auto"/>
              <w:bottom w:val="single" w:sz="4" w:space="0" w:color="auto"/>
            </w:tcBorders>
          </w:tcPr>
          <w:p w:rsidR="008A7E5D" w:rsidRPr="008A7E5D" w:rsidRDefault="008A7E5D" w:rsidP="00724EF8">
            <w:pPr>
              <w:spacing w:after="0"/>
              <w:jc w:val="center"/>
              <w:rPr>
                <w:rFonts w:asciiTheme="minorHAnsi" w:hAnsiTheme="minorHAnsi"/>
              </w:rPr>
            </w:pPr>
            <w:r>
              <w:rPr>
                <w:rFonts w:asciiTheme="minorHAnsi" w:hAnsiTheme="minorHAnsi"/>
              </w:rPr>
              <w:t>34</w:t>
            </w:r>
          </w:p>
        </w:tc>
      </w:tr>
      <w:tr w:rsidR="008A7E5D" w:rsidRPr="008A7E5D" w:rsidTr="008A7E5D">
        <w:trPr>
          <w:trHeight w:val="257"/>
        </w:trPr>
        <w:tc>
          <w:tcPr>
            <w:tcW w:w="2582" w:type="dxa"/>
            <w:vMerge/>
          </w:tcPr>
          <w:p w:rsidR="008A7E5D" w:rsidRPr="000D39D0" w:rsidRDefault="008A7E5D"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A7E5D" w:rsidRPr="008A7E5D" w:rsidRDefault="008A7E5D" w:rsidP="008A7E5D">
            <w:pPr>
              <w:spacing w:after="0"/>
              <w:jc w:val="both"/>
              <w:rPr>
                <w:rFonts w:asciiTheme="minorHAnsi" w:hAnsiTheme="minorHAnsi"/>
              </w:rPr>
            </w:pPr>
            <w:r w:rsidRPr="008A7E5D">
              <w:rPr>
                <w:rFonts w:asciiTheme="minorHAnsi" w:hAnsiTheme="minorHAnsi"/>
              </w:rPr>
              <w:t>Ejercicios sobre estimación de modelos de ecuaciones simultaneas</w:t>
            </w:r>
          </w:p>
        </w:tc>
        <w:tc>
          <w:tcPr>
            <w:tcW w:w="1114" w:type="dxa"/>
            <w:tcBorders>
              <w:top w:val="single" w:sz="4" w:space="0" w:color="auto"/>
              <w:left w:val="single" w:sz="4" w:space="0" w:color="auto"/>
              <w:bottom w:val="single" w:sz="4" w:space="0" w:color="auto"/>
            </w:tcBorders>
          </w:tcPr>
          <w:p w:rsidR="008A7E5D" w:rsidRPr="008A7E5D" w:rsidRDefault="008A7E5D" w:rsidP="008A7E5D">
            <w:pPr>
              <w:jc w:val="center"/>
              <w:rPr>
                <w:rFonts w:asciiTheme="minorHAnsi" w:hAnsiTheme="minorHAnsi"/>
              </w:rPr>
            </w:pPr>
            <w:r>
              <w:rPr>
                <w:rFonts w:asciiTheme="minorHAnsi" w:hAnsiTheme="minorHAnsi"/>
              </w:rPr>
              <w:t>35</w:t>
            </w:r>
          </w:p>
        </w:tc>
      </w:tr>
      <w:tr w:rsidR="008A7E5D" w:rsidRPr="008A7E5D" w:rsidTr="008A7E5D">
        <w:trPr>
          <w:trHeight w:val="240"/>
        </w:trPr>
        <w:tc>
          <w:tcPr>
            <w:tcW w:w="2582" w:type="dxa"/>
            <w:vMerge/>
          </w:tcPr>
          <w:p w:rsidR="008A7E5D" w:rsidRPr="000D39D0" w:rsidRDefault="008A7E5D"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A7E5D" w:rsidRPr="008A7E5D" w:rsidRDefault="008A7E5D" w:rsidP="008A7E5D">
            <w:pPr>
              <w:spacing w:after="0"/>
              <w:jc w:val="both"/>
              <w:rPr>
                <w:rFonts w:asciiTheme="minorHAnsi" w:hAnsiTheme="minorHAnsi"/>
              </w:rPr>
            </w:pPr>
            <w:r w:rsidRPr="008A7E5D">
              <w:rPr>
                <w:rFonts w:asciiTheme="minorHAnsi" w:hAnsiTheme="minorHAnsi"/>
              </w:rPr>
              <w:t>Variables instrumentales. Mínimos cuadrados en dos etapas.</w:t>
            </w:r>
          </w:p>
        </w:tc>
        <w:tc>
          <w:tcPr>
            <w:tcW w:w="1114" w:type="dxa"/>
            <w:tcBorders>
              <w:top w:val="single" w:sz="4" w:space="0" w:color="auto"/>
              <w:left w:val="single" w:sz="4" w:space="0" w:color="auto"/>
              <w:bottom w:val="single" w:sz="4" w:space="0" w:color="auto"/>
            </w:tcBorders>
          </w:tcPr>
          <w:p w:rsidR="008A7E5D" w:rsidRPr="008A7E5D" w:rsidRDefault="008A7E5D" w:rsidP="008A7E5D">
            <w:pPr>
              <w:jc w:val="center"/>
              <w:rPr>
                <w:rFonts w:asciiTheme="minorHAnsi" w:hAnsiTheme="minorHAnsi"/>
              </w:rPr>
            </w:pPr>
            <w:r>
              <w:rPr>
                <w:rFonts w:asciiTheme="minorHAnsi" w:hAnsiTheme="minorHAnsi"/>
              </w:rPr>
              <w:t>36</w:t>
            </w:r>
          </w:p>
        </w:tc>
      </w:tr>
      <w:tr w:rsidR="008923F6" w:rsidRPr="008A7E5D" w:rsidTr="008923F6">
        <w:trPr>
          <w:trHeight w:val="274"/>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A7E5D" w:rsidP="008A7E5D">
            <w:pPr>
              <w:spacing w:after="0"/>
              <w:jc w:val="both"/>
              <w:rPr>
                <w:rFonts w:asciiTheme="minorHAnsi" w:hAnsiTheme="minorHAnsi"/>
              </w:rPr>
            </w:pPr>
            <w:r w:rsidRPr="008A7E5D">
              <w:rPr>
                <w:rFonts w:asciiTheme="minorHAnsi" w:hAnsiTheme="minorHAnsi"/>
              </w:rPr>
              <w:t>Ejercicios. Métodos de estimación de sistemas. Introducción</w:t>
            </w:r>
          </w:p>
        </w:tc>
        <w:tc>
          <w:tcPr>
            <w:tcW w:w="1114" w:type="dxa"/>
            <w:tcBorders>
              <w:top w:val="single" w:sz="4" w:space="0" w:color="auto"/>
              <w:left w:val="single" w:sz="4" w:space="0" w:color="auto"/>
              <w:bottom w:val="single" w:sz="4" w:space="0" w:color="auto"/>
            </w:tcBorders>
          </w:tcPr>
          <w:p w:rsidR="008923F6" w:rsidRPr="008A7E5D" w:rsidRDefault="008A7E5D" w:rsidP="008A7E5D">
            <w:pPr>
              <w:jc w:val="center"/>
              <w:rPr>
                <w:rFonts w:asciiTheme="minorHAnsi" w:hAnsiTheme="minorHAnsi"/>
              </w:rPr>
            </w:pPr>
            <w:r>
              <w:rPr>
                <w:rFonts w:asciiTheme="minorHAnsi" w:hAnsiTheme="minorHAnsi"/>
              </w:rPr>
              <w:t>37</w:t>
            </w:r>
          </w:p>
        </w:tc>
      </w:tr>
      <w:tr w:rsidR="008923F6" w:rsidRPr="008A7E5D" w:rsidTr="008923F6">
        <w:trPr>
          <w:trHeight w:val="223"/>
        </w:trPr>
        <w:tc>
          <w:tcPr>
            <w:tcW w:w="2582" w:type="dxa"/>
            <w:vMerge/>
          </w:tcPr>
          <w:p w:rsidR="008923F6" w:rsidRPr="000D39D0" w:rsidRDefault="008923F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8923F6" w:rsidRPr="008A7E5D" w:rsidRDefault="008A7E5D" w:rsidP="008A7E5D">
            <w:pPr>
              <w:spacing w:after="0"/>
              <w:jc w:val="both"/>
              <w:rPr>
                <w:rFonts w:asciiTheme="minorHAnsi" w:hAnsiTheme="minorHAnsi"/>
              </w:rPr>
            </w:pPr>
            <w:r w:rsidRPr="008A7E5D">
              <w:rPr>
                <w:rFonts w:asciiTheme="minorHAnsi" w:hAnsiTheme="minorHAnsi"/>
              </w:rPr>
              <w:t>Introducción a la metodología SUR. Ejercicio</w:t>
            </w:r>
          </w:p>
        </w:tc>
        <w:tc>
          <w:tcPr>
            <w:tcW w:w="1114" w:type="dxa"/>
            <w:tcBorders>
              <w:top w:val="single" w:sz="4" w:space="0" w:color="auto"/>
              <w:left w:val="single" w:sz="4" w:space="0" w:color="auto"/>
              <w:bottom w:val="single" w:sz="4" w:space="0" w:color="auto"/>
            </w:tcBorders>
          </w:tcPr>
          <w:p w:rsidR="008923F6" w:rsidRPr="008A7E5D" w:rsidRDefault="008A7E5D" w:rsidP="00724EF8">
            <w:pPr>
              <w:spacing w:after="0"/>
              <w:jc w:val="center"/>
              <w:rPr>
                <w:rFonts w:asciiTheme="minorHAnsi" w:hAnsiTheme="minorHAnsi"/>
              </w:rPr>
            </w:pPr>
            <w:r>
              <w:rPr>
                <w:rFonts w:asciiTheme="minorHAnsi" w:hAnsiTheme="minorHAnsi"/>
              </w:rPr>
              <w:t>38</w:t>
            </w:r>
          </w:p>
        </w:tc>
      </w:tr>
      <w:tr w:rsidR="008923F6" w:rsidRPr="000D39D0" w:rsidTr="008A7E5D">
        <w:trPr>
          <w:trHeight w:val="544"/>
        </w:trPr>
        <w:tc>
          <w:tcPr>
            <w:tcW w:w="2582" w:type="dxa"/>
          </w:tcPr>
          <w:p w:rsidR="008923F6" w:rsidRPr="000D39D0" w:rsidRDefault="008923F6" w:rsidP="008A7E5D">
            <w:pPr>
              <w:spacing w:after="0" w:line="240" w:lineRule="auto"/>
              <w:rPr>
                <w:b/>
              </w:rPr>
            </w:pPr>
            <w:r w:rsidRPr="000D39D0">
              <w:rPr>
                <w:b/>
              </w:rPr>
              <w:t>No. de semanas que se le dedicarán a esta</w:t>
            </w:r>
          </w:p>
        </w:tc>
        <w:tc>
          <w:tcPr>
            <w:tcW w:w="4679" w:type="dxa"/>
            <w:tcBorders>
              <w:top w:val="single" w:sz="4" w:space="0" w:color="auto"/>
              <w:right w:val="single" w:sz="4" w:space="0" w:color="auto"/>
            </w:tcBorders>
          </w:tcPr>
          <w:p w:rsidR="008923F6" w:rsidRPr="000D39D0" w:rsidRDefault="00CD3EAB" w:rsidP="00CD3EAB">
            <w:pPr>
              <w:spacing w:after="0"/>
              <w:jc w:val="both"/>
              <w:rPr>
                <w:b/>
              </w:rPr>
            </w:pPr>
            <w:r w:rsidRPr="00CD3EAB">
              <w:rPr>
                <w:rFonts w:asciiTheme="minorHAnsi" w:hAnsiTheme="minorHAnsi"/>
              </w:rPr>
              <w:t>7 semanas</w:t>
            </w:r>
          </w:p>
        </w:tc>
        <w:tc>
          <w:tcPr>
            <w:tcW w:w="1114" w:type="dxa"/>
            <w:tcBorders>
              <w:left w:val="single" w:sz="4" w:space="0" w:color="auto"/>
            </w:tcBorders>
          </w:tcPr>
          <w:p w:rsidR="008923F6" w:rsidRPr="000D39D0" w:rsidRDefault="008923F6" w:rsidP="008A7E5D">
            <w:pPr>
              <w:pStyle w:val="BodyText31"/>
              <w:widowControl/>
              <w:spacing w:line="240" w:lineRule="auto"/>
              <w:rPr>
                <w:b/>
              </w:rPr>
            </w:pPr>
          </w:p>
        </w:tc>
      </w:tr>
      <w:tr w:rsidR="008923F6" w:rsidRPr="00F32174" w:rsidTr="00575E7D">
        <w:trPr>
          <w:trHeight w:val="567"/>
        </w:trPr>
        <w:tc>
          <w:tcPr>
            <w:tcW w:w="8375" w:type="dxa"/>
            <w:gridSpan w:val="3"/>
          </w:tcPr>
          <w:p w:rsidR="008923F6" w:rsidRDefault="008923F6" w:rsidP="008A7E5D">
            <w:pPr>
              <w:spacing w:after="0" w:line="240" w:lineRule="auto"/>
              <w:rPr>
                <w:rFonts w:eastAsia="Arial Unicode MS"/>
              </w:rPr>
            </w:pPr>
            <w:r w:rsidRPr="000D39D0">
              <w:rPr>
                <w:b/>
              </w:rPr>
              <w:t>BIBLIOGRAFÍA BÁSICA correspondiente a esta unidad:</w:t>
            </w:r>
            <w:r>
              <w:rPr>
                <w:rFonts w:eastAsia="Arial Unicode MS"/>
              </w:rPr>
              <w:t xml:space="preserve"> </w:t>
            </w:r>
          </w:p>
          <w:p w:rsidR="008923F6" w:rsidRPr="008C7AFF" w:rsidRDefault="00CD3EAB" w:rsidP="00CD3EAB">
            <w:pPr>
              <w:pStyle w:val="BodyText31"/>
              <w:widowControl/>
              <w:spacing w:line="240" w:lineRule="auto"/>
              <w:rPr>
                <w:rFonts w:asciiTheme="minorHAnsi" w:hAnsiTheme="minorHAnsi"/>
                <w:sz w:val="22"/>
                <w:szCs w:val="22"/>
              </w:rPr>
            </w:pPr>
            <w:r w:rsidRPr="00B74B64">
              <w:rPr>
                <w:rFonts w:asciiTheme="minorHAnsi" w:hAnsiTheme="minorHAnsi"/>
                <w:sz w:val="22"/>
                <w:lang w:val="en-US"/>
              </w:rPr>
              <w:t xml:space="preserve">Johnston, J., J. Dinardo. Econometrics Methods. McGraw - Hill. </w:t>
            </w:r>
            <w:r w:rsidRPr="00CD3EAB">
              <w:rPr>
                <w:rFonts w:asciiTheme="minorHAnsi" w:hAnsiTheme="minorHAnsi"/>
                <w:sz w:val="22"/>
                <w:lang w:val="es-CO"/>
              </w:rPr>
              <w:t>Fourth Edition.1997.</w:t>
            </w:r>
          </w:p>
        </w:tc>
      </w:tr>
    </w:tbl>
    <w:p w:rsidR="008923F6" w:rsidRDefault="008923F6" w:rsidP="00942167">
      <w:pPr>
        <w:tabs>
          <w:tab w:val="right" w:pos="8508"/>
        </w:tabs>
        <w:rPr>
          <w:b/>
        </w:rPr>
      </w:pPr>
    </w:p>
    <w:p w:rsidR="00942167" w:rsidRDefault="008923F6" w:rsidP="00942167">
      <w:pPr>
        <w:tabs>
          <w:tab w:val="right" w:pos="8508"/>
        </w:tabs>
        <w:rPr>
          <w:b/>
        </w:rPr>
      </w:pPr>
      <w:r>
        <w:rPr>
          <w:b/>
        </w:rPr>
        <w:t>Unidad No. 5.4</w:t>
      </w:r>
      <w:r w:rsidR="00942167">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2"/>
        <w:gridCol w:w="4679"/>
        <w:gridCol w:w="1114"/>
      </w:tblGrid>
      <w:tr w:rsidR="00983E76" w:rsidRPr="000D39D0" w:rsidTr="00983E76">
        <w:trPr>
          <w:trHeight w:val="145"/>
        </w:trPr>
        <w:tc>
          <w:tcPr>
            <w:tcW w:w="2582" w:type="dxa"/>
          </w:tcPr>
          <w:p w:rsidR="00983E76" w:rsidRPr="000D39D0" w:rsidRDefault="00983E76" w:rsidP="008A7E5D">
            <w:pPr>
              <w:spacing w:after="0" w:line="240" w:lineRule="auto"/>
              <w:jc w:val="both"/>
              <w:rPr>
                <w:b/>
              </w:rPr>
            </w:pPr>
            <w:r w:rsidRPr="000D39D0">
              <w:rPr>
                <w:b/>
              </w:rPr>
              <w:t xml:space="preserve">Tema(s) a desarrollar </w:t>
            </w:r>
          </w:p>
        </w:tc>
        <w:tc>
          <w:tcPr>
            <w:tcW w:w="4679" w:type="dxa"/>
            <w:tcBorders>
              <w:right w:val="single" w:sz="4" w:space="0" w:color="auto"/>
            </w:tcBorders>
          </w:tcPr>
          <w:p w:rsidR="00983E76" w:rsidRPr="00983E76" w:rsidRDefault="00983E76" w:rsidP="00983E76">
            <w:pPr>
              <w:spacing w:after="0"/>
              <w:ind w:left="35"/>
              <w:jc w:val="both"/>
              <w:rPr>
                <w:rFonts w:asciiTheme="minorHAnsi" w:hAnsiTheme="minorHAnsi"/>
              </w:rPr>
            </w:pPr>
            <w:r w:rsidRPr="00983E76">
              <w:rPr>
                <w:rFonts w:asciiTheme="minorHAnsi" w:hAnsiTheme="minorHAnsi"/>
              </w:rPr>
              <w:t>Modelos de variable dependiente discreta y limitada. Modelos logit, Probit. Probitordenados. Modelos Tobit.</w:t>
            </w:r>
          </w:p>
        </w:tc>
        <w:tc>
          <w:tcPr>
            <w:tcW w:w="1114" w:type="dxa"/>
            <w:tcBorders>
              <w:left w:val="single" w:sz="4" w:space="0" w:color="auto"/>
            </w:tcBorders>
          </w:tcPr>
          <w:p w:rsidR="00983E76" w:rsidRPr="00983E76" w:rsidRDefault="00983E76" w:rsidP="008A7E5D">
            <w:pPr>
              <w:spacing w:after="0" w:line="240" w:lineRule="auto"/>
              <w:jc w:val="both"/>
            </w:pPr>
            <w:r w:rsidRPr="00983E76">
              <w:t xml:space="preserve">Sesión </w:t>
            </w:r>
          </w:p>
        </w:tc>
      </w:tr>
      <w:tr w:rsidR="00983E76" w:rsidRPr="000D39D0" w:rsidTr="00983E76">
        <w:trPr>
          <w:trHeight w:val="257"/>
        </w:trPr>
        <w:tc>
          <w:tcPr>
            <w:tcW w:w="2582" w:type="dxa"/>
            <w:vMerge w:val="restart"/>
          </w:tcPr>
          <w:p w:rsidR="00983E76" w:rsidRPr="000D39D0" w:rsidRDefault="00983E76" w:rsidP="008A7E5D">
            <w:pPr>
              <w:spacing w:after="0" w:line="240" w:lineRule="auto"/>
              <w:jc w:val="both"/>
              <w:rPr>
                <w:b/>
              </w:rPr>
            </w:pPr>
            <w:r w:rsidRPr="000D39D0">
              <w:rPr>
                <w:b/>
              </w:rPr>
              <w:t>Subtemas</w:t>
            </w:r>
          </w:p>
          <w:p w:rsidR="00983E76" w:rsidRPr="000D39D0" w:rsidRDefault="00983E76" w:rsidP="008A7E5D">
            <w:pPr>
              <w:spacing w:after="0" w:line="240" w:lineRule="auto"/>
              <w:jc w:val="both"/>
              <w:rPr>
                <w:b/>
              </w:rPr>
            </w:pPr>
          </w:p>
        </w:tc>
        <w:tc>
          <w:tcPr>
            <w:tcW w:w="4679" w:type="dxa"/>
            <w:tcBorders>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Introducción. Modelo de probabilidad lineal. Ejemplo</w:t>
            </w:r>
          </w:p>
        </w:tc>
        <w:tc>
          <w:tcPr>
            <w:tcW w:w="1114" w:type="dxa"/>
            <w:tcBorders>
              <w:left w:val="single" w:sz="4" w:space="0" w:color="auto"/>
              <w:bottom w:val="single" w:sz="4" w:space="0" w:color="auto"/>
            </w:tcBorders>
          </w:tcPr>
          <w:p w:rsidR="00983E76" w:rsidRPr="007E7A82" w:rsidRDefault="008A7E5D" w:rsidP="008A7E5D">
            <w:pPr>
              <w:jc w:val="center"/>
            </w:pPr>
            <w:r>
              <w:t>39</w:t>
            </w:r>
          </w:p>
        </w:tc>
      </w:tr>
      <w:tr w:rsidR="00983E76" w:rsidRPr="000D39D0" w:rsidTr="00983E76">
        <w:trPr>
          <w:trHeight w:val="235"/>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Formulación de un modelo de probabilidad. El Modelo Logit. Ideas generales. Estimación. Ejercicio. Interpretación</w:t>
            </w:r>
          </w:p>
        </w:tc>
        <w:tc>
          <w:tcPr>
            <w:tcW w:w="1114" w:type="dxa"/>
            <w:tcBorders>
              <w:top w:val="single" w:sz="4" w:space="0" w:color="auto"/>
              <w:left w:val="single" w:sz="4" w:space="0" w:color="auto"/>
              <w:bottom w:val="single" w:sz="4" w:space="0" w:color="auto"/>
            </w:tcBorders>
          </w:tcPr>
          <w:p w:rsidR="00983E76" w:rsidRPr="007E7A82" w:rsidRDefault="008A7E5D" w:rsidP="008A7E5D">
            <w:pPr>
              <w:jc w:val="center"/>
            </w:pPr>
            <w:r>
              <w:t>40</w:t>
            </w:r>
          </w:p>
        </w:tc>
      </w:tr>
      <w:tr w:rsidR="00983E76" w:rsidRPr="000D39D0" w:rsidTr="00983E76">
        <w:trPr>
          <w:trHeight w:val="252"/>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 xml:space="preserve">Modelo Probit. Estimación. Ejercicio. </w:t>
            </w:r>
            <w:r w:rsidRPr="00983E76">
              <w:rPr>
                <w:rFonts w:asciiTheme="minorHAnsi" w:hAnsiTheme="minorHAnsi"/>
              </w:rPr>
              <w:lastRenderedPageBreak/>
              <w:t>Interpretación</w:t>
            </w:r>
          </w:p>
        </w:tc>
        <w:tc>
          <w:tcPr>
            <w:tcW w:w="1114" w:type="dxa"/>
            <w:tcBorders>
              <w:top w:val="single" w:sz="4" w:space="0" w:color="auto"/>
              <w:left w:val="single" w:sz="4" w:space="0" w:color="auto"/>
              <w:bottom w:val="single" w:sz="4" w:space="0" w:color="auto"/>
            </w:tcBorders>
          </w:tcPr>
          <w:p w:rsidR="00983E76" w:rsidRPr="007E7A82" w:rsidRDefault="008A7E5D" w:rsidP="008A7E5D">
            <w:pPr>
              <w:jc w:val="center"/>
            </w:pPr>
            <w:r>
              <w:lastRenderedPageBreak/>
              <w:t>41</w:t>
            </w:r>
          </w:p>
        </w:tc>
      </w:tr>
      <w:tr w:rsidR="00983E76" w:rsidRPr="000D39D0" w:rsidTr="00575E7D">
        <w:trPr>
          <w:trHeight w:val="521"/>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Problemas en la especificación de los modelos binarios.</w:t>
            </w:r>
          </w:p>
        </w:tc>
        <w:tc>
          <w:tcPr>
            <w:tcW w:w="1114" w:type="dxa"/>
            <w:tcBorders>
              <w:top w:val="single" w:sz="4" w:space="0" w:color="auto"/>
              <w:left w:val="single" w:sz="4" w:space="0" w:color="auto"/>
              <w:bottom w:val="single" w:sz="4" w:space="0" w:color="auto"/>
            </w:tcBorders>
          </w:tcPr>
          <w:p w:rsidR="00983E76" w:rsidRPr="007E7A82" w:rsidRDefault="008A7E5D" w:rsidP="008A7E5D">
            <w:pPr>
              <w:jc w:val="center"/>
            </w:pPr>
            <w:r>
              <w:t>42</w:t>
            </w:r>
          </w:p>
        </w:tc>
      </w:tr>
      <w:tr w:rsidR="00983E76" w:rsidRPr="000D39D0" w:rsidTr="00983E76">
        <w:trPr>
          <w:trHeight w:val="252"/>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Extensiones de los modelos básicos. Datos agrupados.</w:t>
            </w:r>
          </w:p>
        </w:tc>
        <w:tc>
          <w:tcPr>
            <w:tcW w:w="1114" w:type="dxa"/>
            <w:tcBorders>
              <w:top w:val="single" w:sz="4" w:space="0" w:color="auto"/>
              <w:left w:val="single" w:sz="4" w:space="0" w:color="auto"/>
              <w:bottom w:val="single" w:sz="4" w:space="0" w:color="auto"/>
            </w:tcBorders>
          </w:tcPr>
          <w:p w:rsidR="00983E76" w:rsidRPr="007E7A82" w:rsidRDefault="008A7E5D" w:rsidP="008A7E5D">
            <w:pPr>
              <w:jc w:val="center"/>
            </w:pPr>
            <w:r>
              <w:t>43</w:t>
            </w:r>
          </w:p>
        </w:tc>
      </w:tr>
      <w:tr w:rsidR="00983E76" w:rsidRPr="000D39D0" w:rsidTr="00983E76">
        <w:trPr>
          <w:trHeight w:val="200"/>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bottom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Modelos Probit ordenados. Introducción. Ejercicio</w:t>
            </w:r>
          </w:p>
        </w:tc>
        <w:tc>
          <w:tcPr>
            <w:tcW w:w="1114" w:type="dxa"/>
            <w:tcBorders>
              <w:top w:val="single" w:sz="4" w:space="0" w:color="auto"/>
              <w:left w:val="single" w:sz="4" w:space="0" w:color="auto"/>
              <w:bottom w:val="single" w:sz="4" w:space="0" w:color="auto"/>
            </w:tcBorders>
          </w:tcPr>
          <w:p w:rsidR="00983E76" w:rsidRPr="007E7A82" w:rsidRDefault="008A7E5D" w:rsidP="008A7E5D">
            <w:pPr>
              <w:jc w:val="center"/>
            </w:pPr>
            <w:r>
              <w:t>44</w:t>
            </w:r>
          </w:p>
        </w:tc>
      </w:tr>
      <w:tr w:rsidR="00983E76" w:rsidRPr="000D39D0" w:rsidTr="00575E7D">
        <w:trPr>
          <w:trHeight w:val="192"/>
        </w:trPr>
        <w:tc>
          <w:tcPr>
            <w:tcW w:w="2582" w:type="dxa"/>
            <w:vMerge/>
          </w:tcPr>
          <w:p w:rsidR="00983E76" w:rsidRPr="000D39D0" w:rsidRDefault="00983E76" w:rsidP="008A7E5D">
            <w:pPr>
              <w:spacing w:after="0" w:line="240" w:lineRule="auto"/>
              <w:jc w:val="both"/>
              <w:rPr>
                <w:b/>
              </w:rPr>
            </w:pPr>
          </w:p>
        </w:tc>
        <w:tc>
          <w:tcPr>
            <w:tcW w:w="4679" w:type="dxa"/>
            <w:tcBorders>
              <w:top w:val="single" w:sz="4" w:space="0" w:color="auto"/>
              <w:right w:val="single" w:sz="4" w:space="0" w:color="auto"/>
            </w:tcBorders>
          </w:tcPr>
          <w:p w:rsidR="00983E76" w:rsidRPr="00983E76" w:rsidRDefault="00983E76" w:rsidP="00983E76">
            <w:pPr>
              <w:spacing w:after="0"/>
              <w:jc w:val="both"/>
              <w:rPr>
                <w:rFonts w:asciiTheme="minorHAnsi" w:hAnsiTheme="minorHAnsi"/>
              </w:rPr>
            </w:pPr>
            <w:r w:rsidRPr="00983E76">
              <w:rPr>
                <w:rFonts w:asciiTheme="minorHAnsi" w:hAnsiTheme="minorHAnsi"/>
              </w:rPr>
              <w:t>Modelos Tobit. Ideas generales</w:t>
            </w:r>
          </w:p>
        </w:tc>
        <w:tc>
          <w:tcPr>
            <w:tcW w:w="1114" w:type="dxa"/>
            <w:tcBorders>
              <w:top w:val="single" w:sz="4" w:space="0" w:color="auto"/>
              <w:left w:val="single" w:sz="4" w:space="0" w:color="auto"/>
            </w:tcBorders>
          </w:tcPr>
          <w:p w:rsidR="00983E76" w:rsidRPr="007E7A82" w:rsidRDefault="008A7E5D" w:rsidP="00724EF8">
            <w:pPr>
              <w:spacing w:after="0"/>
              <w:jc w:val="center"/>
            </w:pPr>
            <w:r>
              <w:t>45</w:t>
            </w:r>
          </w:p>
        </w:tc>
      </w:tr>
      <w:tr w:rsidR="00983E76" w:rsidRPr="000D39D0" w:rsidTr="00983E76">
        <w:trPr>
          <w:trHeight w:val="544"/>
        </w:trPr>
        <w:tc>
          <w:tcPr>
            <w:tcW w:w="2582" w:type="dxa"/>
          </w:tcPr>
          <w:p w:rsidR="00983E76" w:rsidRPr="000D39D0" w:rsidRDefault="00983E76" w:rsidP="008A7E5D">
            <w:pPr>
              <w:spacing w:after="0" w:line="240" w:lineRule="auto"/>
              <w:rPr>
                <w:b/>
              </w:rPr>
            </w:pPr>
            <w:r w:rsidRPr="000D39D0">
              <w:rPr>
                <w:b/>
              </w:rPr>
              <w:t>No. de semanas que se le dedicarán a esta</w:t>
            </w:r>
          </w:p>
        </w:tc>
        <w:tc>
          <w:tcPr>
            <w:tcW w:w="4680" w:type="dxa"/>
            <w:tcBorders>
              <w:right w:val="single" w:sz="4" w:space="0" w:color="auto"/>
            </w:tcBorders>
          </w:tcPr>
          <w:p w:rsidR="00983E76" w:rsidRPr="000D39D0" w:rsidRDefault="00CD3EAB" w:rsidP="00CD3EAB">
            <w:pPr>
              <w:spacing w:after="0"/>
              <w:jc w:val="both"/>
              <w:rPr>
                <w:b/>
              </w:rPr>
            </w:pPr>
            <w:r w:rsidRPr="00CD3EAB">
              <w:rPr>
                <w:rFonts w:asciiTheme="minorHAnsi" w:hAnsiTheme="minorHAnsi"/>
              </w:rPr>
              <w:t>Aprox. 3 semanas</w:t>
            </w:r>
          </w:p>
        </w:tc>
        <w:tc>
          <w:tcPr>
            <w:tcW w:w="1113" w:type="dxa"/>
            <w:tcBorders>
              <w:left w:val="single" w:sz="4" w:space="0" w:color="auto"/>
            </w:tcBorders>
          </w:tcPr>
          <w:p w:rsidR="00983E76" w:rsidRPr="000D39D0" w:rsidRDefault="00983E76" w:rsidP="00942167">
            <w:pPr>
              <w:pStyle w:val="BodyText31"/>
              <w:widowControl/>
              <w:spacing w:line="240" w:lineRule="auto"/>
              <w:rPr>
                <w:b/>
              </w:rPr>
            </w:pPr>
          </w:p>
        </w:tc>
      </w:tr>
      <w:tr w:rsidR="00942167" w:rsidRPr="00F32174" w:rsidTr="00575E7D">
        <w:trPr>
          <w:trHeight w:val="598"/>
        </w:trPr>
        <w:tc>
          <w:tcPr>
            <w:tcW w:w="8375" w:type="dxa"/>
            <w:gridSpan w:val="3"/>
          </w:tcPr>
          <w:p w:rsidR="00942167" w:rsidRDefault="00942167" w:rsidP="008A7E5D">
            <w:pPr>
              <w:spacing w:after="0" w:line="240" w:lineRule="auto"/>
              <w:rPr>
                <w:rFonts w:eastAsia="Arial Unicode MS"/>
              </w:rPr>
            </w:pPr>
            <w:r w:rsidRPr="000D39D0">
              <w:rPr>
                <w:b/>
              </w:rPr>
              <w:t>BIBLIOGRAFÍA BÁSICA correspondiente a esta unidad:</w:t>
            </w:r>
            <w:r>
              <w:rPr>
                <w:rFonts w:eastAsia="Arial Unicode MS"/>
              </w:rPr>
              <w:t xml:space="preserve"> </w:t>
            </w:r>
          </w:p>
          <w:p w:rsidR="00942167" w:rsidRPr="00CD3EAB" w:rsidRDefault="00CD3EAB" w:rsidP="00CD3EAB">
            <w:pPr>
              <w:pStyle w:val="Sangradetextonormal"/>
              <w:spacing w:line="276" w:lineRule="auto"/>
              <w:ind w:left="0"/>
              <w:rPr>
                <w:szCs w:val="22"/>
                <w:lang w:val="en-US"/>
              </w:rPr>
            </w:pPr>
            <w:r w:rsidRPr="00B74B64">
              <w:rPr>
                <w:rFonts w:asciiTheme="minorHAnsi" w:hAnsiTheme="minorHAnsi"/>
                <w:lang w:val="en-US"/>
              </w:rPr>
              <w:t xml:space="preserve">Johnston, J., J. Dinardo. Econometrics Methods. McGraw - Hill. </w:t>
            </w:r>
            <w:r w:rsidRPr="00CD3EAB">
              <w:rPr>
                <w:rFonts w:asciiTheme="minorHAnsi" w:hAnsiTheme="minorHAnsi"/>
              </w:rPr>
              <w:t>Fourth Edition.1997.</w:t>
            </w:r>
          </w:p>
        </w:tc>
      </w:tr>
    </w:tbl>
    <w:p w:rsidR="00942167" w:rsidRDefault="00942167" w:rsidP="00942167">
      <w:pPr>
        <w:tabs>
          <w:tab w:val="left" w:pos="3332"/>
        </w:tabs>
        <w:spacing w:after="0" w:line="240" w:lineRule="auto"/>
        <w:rPr>
          <w:b/>
          <w:sz w:val="24"/>
          <w:szCs w:val="24"/>
        </w:rPr>
      </w:pPr>
    </w:p>
    <w:tbl>
      <w:tblPr>
        <w:tblpPr w:leftFromText="141" w:rightFromText="141" w:vertAnchor="text" w:horzAnchor="margin" w:tblpY="119"/>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983E76" w:rsidRPr="000D39D0" w:rsidTr="008A7E5D">
        <w:trPr>
          <w:trHeight w:val="2398"/>
        </w:trPr>
        <w:tc>
          <w:tcPr>
            <w:tcW w:w="8755" w:type="dxa"/>
          </w:tcPr>
          <w:p w:rsidR="00983E76" w:rsidRDefault="00983E76" w:rsidP="00983E76">
            <w:pPr>
              <w:spacing w:before="120"/>
              <w:jc w:val="both"/>
              <w:rPr>
                <w:szCs w:val="24"/>
              </w:rPr>
            </w:pPr>
            <w:r w:rsidRPr="000D39D0">
              <w:rPr>
                <w:b/>
              </w:rPr>
              <w:t>METODOLOGÍA  a seguir en el desarrollo del curso:</w:t>
            </w:r>
            <w:r>
              <w:rPr>
                <w:b/>
              </w:rPr>
              <w:t xml:space="preserve"> </w:t>
            </w:r>
            <w:r w:rsidRPr="00611EBD">
              <w:rPr>
                <w:szCs w:val="24"/>
              </w:rPr>
              <w:t xml:space="preserve"> </w:t>
            </w:r>
          </w:p>
          <w:p w:rsidR="00983E76" w:rsidRPr="00724EF8" w:rsidRDefault="00983E76" w:rsidP="00724EF8">
            <w:pPr>
              <w:pStyle w:val="Sangradetextonormal"/>
              <w:spacing w:line="276" w:lineRule="auto"/>
              <w:ind w:left="0"/>
              <w:rPr>
                <w:rFonts w:asciiTheme="minorHAnsi" w:hAnsiTheme="minorHAnsi"/>
              </w:rPr>
            </w:pPr>
            <w:r w:rsidRPr="00134974">
              <w:rPr>
                <w:rFonts w:asciiTheme="minorHAnsi" w:hAnsiTheme="minorHAnsi"/>
              </w:rPr>
              <w:t>El curso se desarrollará con base en la exposición magistral, en la cual el profesor  realiza un análisis teórico y conceptual sobre todos los temas del curso, de igual forma se trabajará en la solución de problemas modelo tanto teóricos como prácticos. Para los problemas de tipo práctico, en los cuales se manejan datos reales y simulados, se empleará software econométrico, hoja electrónica y procesador de texto.</w:t>
            </w:r>
          </w:p>
        </w:tc>
      </w:tr>
    </w:tbl>
    <w:p w:rsidR="00942167" w:rsidRDefault="00942167" w:rsidP="00942167">
      <w:pPr>
        <w:spacing w:after="0"/>
        <w:rPr>
          <w:b/>
          <w:sz w:val="28"/>
          <w:szCs w:val="28"/>
        </w:rPr>
      </w:pPr>
    </w:p>
    <w:tbl>
      <w:tblPr>
        <w:tblpPr w:leftFromText="141" w:rightFromText="141" w:vertAnchor="text" w:horzAnchor="margin" w:tblpY="267"/>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C76878" w:rsidRPr="000D39D0" w:rsidTr="00CD3EAB">
        <w:trPr>
          <w:trHeight w:val="563"/>
        </w:trPr>
        <w:tc>
          <w:tcPr>
            <w:tcW w:w="8755" w:type="dxa"/>
          </w:tcPr>
          <w:p w:rsidR="00C76878" w:rsidRDefault="00C76878" w:rsidP="00C76878">
            <w:pPr>
              <w:spacing w:after="0" w:line="240" w:lineRule="auto"/>
              <w:rPr>
                <w:b/>
              </w:rPr>
            </w:pPr>
            <w:r w:rsidRPr="000D39D0">
              <w:rPr>
                <w:b/>
              </w:rPr>
              <w:t>Actividades de asistencia obligatoria</w:t>
            </w:r>
          </w:p>
          <w:p w:rsidR="00C76878" w:rsidRPr="000D39D0" w:rsidRDefault="00C76878" w:rsidP="00C76878">
            <w:pPr>
              <w:spacing w:after="0" w:line="240" w:lineRule="auto"/>
            </w:pPr>
            <w:r>
              <w:t>Todas</w:t>
            </w:r>
          </w:p>
        </w:tc>
      </w:tr>
    </w:tbl>
    <w:tbl>
      <w:tblPr>
        <w:tblpPr w:leftFromText="141" w:rightFromText="141" w:vertAnchor="page" w:horzAnchor="margin" w:tblpY="9567"/>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575E7D" w:rsidRPr="000D39D0" w:rsidTr="00575E7D">
        <w:tc>
          <w:tcPr>
            <w:tcW w:w="8755" w:type="dxa"/>
            <w:gridSpan w:val="3"/>
          </w:tcPr>
          <w:p w:rsidR="00575E7D" w:rsidRPr="00A67A6D" w:rsidRDefault="00575E7D" w:rsidP="00575E7D">
            <w:pPr>
              <w:spacing w:after="0" w:line="240" w:lineRule="auto"/>
            </w:pPr>
            <w:r w:rsidRPr="00A67A6D">
              <w:rPr>
                <w:b/>
              </w:rPr>
              <w:t>EVALUACIÓN</w:t>
            </w:r>
          </w:p>
        </w:tc>
      </w:tr>
      <w:tr w:rsidR="00575E7D" w:rsidRPr="000D39D0" w:rsidTr="00575E7D">
        <w:tc>
          <w:tcPr>
            <w:tcW w:w="2508" w:type="dxa"/>
          </w:tcPr>
          <w:p w:rsidR="00575E7D" w:rsidRPr="00A67A6D" w:rsidRDefault="00575E7D" w:rsidP="00575E7D">
            <w:pPr>
              <w:spacing w:after="0" w:line="240" w:lineRule="auto"/>
              <w:rPr>
                <w:b/>
              </w:rPr>
            </w:pPr>
            <w:r w:rsidRPr="00A67A6D">
              <w:rPr>
                <w:b/>
              </w:rPr>
              <w:t>Actividad</w:t>
            </w:r>
          </w:p>
        </w:tc>
        <w:tc>
          <w:tcPr>
            <w:tcW w:w="1853" w:type="dxa"/>
          </w:tcPr>
          <w:p w:rsidR="00575E7D" w:rsidRPr="00A67A6D" w:rsidRDefault="00575E7D" w:rsidP="00575E7D">
            <w:pPr>
              <w:spacing w:after="0" w:line="240" w:lineRule="auto"/>
              <w:rPr>
                <w:b/>
              </w:rPr>
            </w:pPr>
            <w:r w:rsidRPr="00A67A6D">
              <w:rPr>
                <w:b/>
              </w:rPr>
              <w:t>Porcentaje</w:t>
            </w:r>
          </w:p>
        </w:tc>
        <w:tc>
          <w:tcPr>
            <w:tcW w:w="4394" w:type="dxa"/>
          </w:tcPr>
          <w:p w:rsidR="00575E7D" w:rsidRPr="00A67A6D" w:rsidRDefault="00575E7D" w:rsidP="00575E7D">
            <w:pPr>
              <w:spacing w:after="0" w:line="240" w:lineRule="auto"/>
              <w:rPr>
                <w:b/>
              </w:rPr>
            </w:pPr>
            <w:r w:rsidRPr="00A67A6D">
              <w:rPr>
                <w:b/>
              </w:rPr>
              <w:t>Fecha (día, mes, año)</w:t>
            </w:r>
          </w:p>
        </w:tc>
      </w:tr>
      <w:tr w:rsidR="00575E7D" w:rsidRPr="000D39D0" w:rsidTr="00575E7D">
        <w:tc>
          <w:tcPr>
            <w:tcW w:w="2508" w:type="dxa"/>
          </w:tcPr>
          <w:p w:rsidR="00575E7D" w:rsidRPr="00A67A6D" w:rsidRDefault="00575E7D" w:rsidP="00575E7D">
            <w:pPr>
              <w:spacing w:after="0" w:line="240" w:lineRule="auto"/>
              <w:rPr>
                <w:b/>
              </w:rPr>
            </w:pPr>
            <w:r w:rsidRPr="00A67A6D">
              <w:rPr>
                <w:b/>
              </w:rPr>
              <w:t>Examen Parcial I</w:t>
            </w:r>
          </w:p>
        </w:tc>
        <w:tc>
          <w:tcPr>
            <w:tcW w:w="1853" w:type="dxa"/>
          </w:tcPr>
          <w:p w:rsidR="00575E7D" w:rsidRPr="00A43D70" w:rsidRDefault="00575E7D" w:rsidP="00575E7D">
            <w:pPr>
              <w:spacing w:after="0" w:line="240" w:lineRule="auto"/>
              <w:rPr>
                <w:rFonts w:asciiTheme="minorHAnsi" w:hAnsiTheme="minorHAnsi"/>
                <w:b/>
              </w:rPr>
            </w:pPr>
            <w:r w:rsidRPr="00A43D70">
              <w:rPr>
                <w:rFonts w:asciiTheme="minorHAnsi" w:hAnsiTheme="minorHAnsi"/>
              </w:rPr>
              <w:t>25%</w:t>
            </w:r>
          </w:p>
        </w:tc>
        <w:tc>
          <w:tcPr>
            <w:tcW w:w="4394" w:type="dxa"/>
          </w:tcPr>
          <w:p w:rsidR="00575E7D" w:rsidRPr="00A43D70" w:rsidRDefault="00575E7D" w:rsidP="00575E7D">
            <w:pPr>
              <w:pStyle w:val="BodyText31"/>
              <w:widowControl/>
              <w:spacing w:line="240" w:lineRule="auto"/>
              <w:rPr>
                <w:rFonts w:asciiTheme="minorHAnsi" w:hAnsiTheme="minorHAnsi"/>
                <w:sz w:val="22"/>
                <w:szCs w:val="22"/>
              </w:rPr>
            </w:pPr>
            <w:r>
              <w:rPr>
                <w:rFonts w:asciiTheme="minorHAnsi" w:hAnsiTheme="minorHAnsi"/>
                <w:sz w:val="22"/>
              </w:rPr>
              <w:t>S</w:t>
            </w:r>
            <w:r w:rsidRPr="00A43D70">
              <w:rPr>
                <w:rFonts w:asciiTheme="minorHAnsi" w:hAnsiTheme="minorHAnsi"/>
                <w:sz w:val="22"/>
              </w:rPr>
              <w:t>emana 6 (tema 5.1 )</w:t>
            </w:r>
          </w:p>
        </w:tc>
      </w:tr>
      <w:tr w:rsidR="00575E7D" w:rsidRPr="000D39D0" w:rsidTr="00575E7D">
        <w:tc>
          <w:tcPr>
            <w:tcW w:w="2508" w:type="dxa"/>
          </w:tcPr>
          <w:p w:rsidR="00575E7D" w:rsidRPr="00A67A6D" w:rsidRDefault="00575E7D" w:rsidP="00575E7D">
            <w:pPr>
              <w:spacing w:after="0" w:line="240" w:lineRule="auto"/>
              <w:rPr>
                <w:b/>
              </w:rPr>
            </w:pPr>
            <w:r w:rsidRPr="00A67A6D">
              <w:rPr>
                <w:b/>
              </w:rPr>
              <w:t>Examen Parcial II</w:t>
            </w:r>
          </w:p>
        </w:tc>
        <w:tc>
          <w:tcPr>
            <w:tcW w:w="1853" w:type="dxa"/>
          </w:tcPr>
          <w:p w:rsidR="00575E7D" w:rsidRPr="00A43D70" w:rsidRDefault="00575E7D" w:rsidP="00575E7D">
            <w:pPr>
              <w:spacing w:after="0" w:line="240" w:lineRule="auto"/>
              <w:rPr>
                <w:rFonts w:asciiTheme="minorHAnsi" w:hAnsiTheme="minorHAnsi"/>
                <w:b/>
              </w:rPr>
            </w:pPr>
            <w:r w:rsidRPr="00A43D70">
              <w:rPr>
                <w:rFonts w:asciiTheme="minorHAnsi" w:hAnsiTheme="minorHAnsi"/>
              </w:rPr>
              <w:t>30%</w:t>
            </w:r>
          </w:p>
        </w:tc>
        <w:tc>
          <w:tcPr>
            <w:tcW w:w="4394" w:type="dxa"/>
          </w:tcPr>
          <w:p w:rsidR="00575E7D" w:rsidRPr="00A43D70" w:rsidRDefault="00575E7D" w:rsidP="00575E7D">
            <w:pPr>
              <w:pStyle w:val="BodyText31"/>
              <w:widowControl/>
              <w:spacing w:line="240" w:lineRule="auto"/>
              <w:rPr>
                <w:rFonts w:asciiTheme="minorHAnsi" w:hAnsiTheme="minorHAnsi"/>
                <w:sz w:val="22"/>
                <w:szCs w:val="22"/>
              </w:rPr>
            </w:pPr>
            <w:r>
              <w:rPr>
                <w:rFonts w:asciiTheme="minorHAnsi" w:hAnsiTheme="minorHAnsi"/>
                <w:sz w:val="22"/>
              </w:rPr>
              <w:t>Semana 11 (tema 5.2</w:t>
            </w:r>
            <w:r w:rsidRPr="00A43D70">
              <w:rPr>
                <w:rFonts w:asciiTheme="minorHAnsi" w:hAnsiTheme="minorHAnsi"/>
                <w:sz w:val="22"/>
              </w:rPr>
              <w:t xml:space="preserve"> – 5.3.7)</w:t>
            </w:r>
          </w:p>
        </w:tc>
      </w:tr>
      <w:tr w:rsidR="00575E7D" w:rsidRPr="000D39D0" w:rsidTr="00575E7D">
        <w:tc>
          <w:tcPr>
            <w:tcW w:w="2508" w:type="dxa"/>
          </w:tcPr>
          <w:p w:rsidR="00575E7D" w:rsidRPr="00A67A6D" w:rsidRDefault="00575E7D" w:rsidP="00575E7D">
            <w:pPr>
              <w:spacing w:after="0" w:line="240" w:lineRule="auto"/>
              <w:rPr>
                <w:b/>
              </w:rPr>
            </w:pPr>
            <w:r w:rsidRPr="00A67A6D">
              <w:rPr>
                <w:b/>
              </w:rPr>
              <w:t>Examen Parcial II</w:t>
            </w:r>
            <w:r>
              <w:rPr>
                <w:b/>
              </w:rPr>
              <w:t>I</w:t>
            </w:r>
          </w:p>
        </w:tc>
        <w:tc>
          <w:tcPr>
            <w:tcW w:w="1853" w:type="dxa"/>
          </w:tcPr>
          <w:p w:rsidR="00575E7D" w:rsidRPr="00A43D70" w:rsidRDefault="00575E7D" w:rsidP="00575E7D">
            <w:pPr>
              <w:spacing w:after="0" w:line="240" w:lineRule="auto"/>
              <w:rPr>
                <w:rFonts w:asciiTheme="minorHAnsi" w:hAnsiTheme="minorHAnsi"/>
                <w:b/>
              </w:rPr>
            </w:pPr>
            <w:r w:rsidRPr="00A43D70">
              <w:rPr>
                <w:rFonts w:asciiTheme="minorHAnsi" w:hAnsiTheme="minorHAnsi"/>
              </w:rPr>
              <w:t>30%</w:t>
            </w:r>
          </w:p>
        </w:tc>
        <w:tc>
          <w:tcPr>
            <w:tcW w:w="4394" w:type="dxa"/>
          </w:tcPr>
          <w:p w:rsidR="00575E7D" w:rsidRPr="00A43D70" w:rsidRDefault="00575E7D" w:rsidP="00575E7D">
            <w:pPr>
              <w:pStyle w:val="BodyText31"/>
              <w:widowControl/>
              <w:spacing w:line="240" w:lineRule="auto"/>
              <w:rPr>
                <w:rFonts w:asciiTheme="minorHAnsi" w:hAnsiTheme="minorHAnsi"/>
                <w:sz w:val="22"/>
                <w:szCs w:val="22"/>
              </w:rPr>
            </w:pPr>
            <w:r>
              <w:rPr>
                <w:rFonts w:asciiTheme="minorHAnsi" w:hAnsiTheme="minorHAnsi"/>
                <w:sz w:val="22"/>
              </w:rPr>
              <w:t>S</w:t>
            </w:r>
            <w:r w:rsidRPr="00A43D70">
              <w:rPr>
                <w:rFonts w:asciiTheme="minorHAnsi" w:hAnsiTheme="minorHAnsi"/>
                <w:sz w:val="22"/>
              </w:rPr>
              <w:t>emana 17 (tema 5.3.8 – 5.4)</w:t>
            </w:r>
          </w:p>
        </w:tc>
      </w:tr>
      <w:tr w:rsidR="00575E7D" w:rsidRPr="000D39D0" w:rsidTr="00575E7D">
        <w:tc>
          <w:tcPr>
            <w:tcW w:w="2508" w:type="dxa"/>
          </w:tcPr>
          <w:p w:rsidR="00575E7D" w:rsidRPr="00A67A6D" w:rsidRDefault="00575E7D" w:rsidP="00575E7D">
            <w:pPr>
              <w:spacing w:after="0" w:line="240" w:lineRule="auto"/>
              <w:rPr>
                <w:b/>
              </w:rPr>
            </w:pPr>
            <w:r w:rsidRPr="00A67A6D">
              <w:rPr>
                <w:b/>
              </w:rPr>
              <w:t>Examen Parcial I</w:t>
            </w:r>
            <w:r>
              <w:rPr>
                <w:b/>
              </w:rPr>
              <w:t>V</w:t>
            </w:r>
          </w:p>
        </w:tc>
        <w:tc>
          <w:tcPr>
            <w:tcW w:w="1853" w:type="dxa"/>
          </w:tcPr>
          <w:p w:rsidR="00575E7D" w:rsidRPr="00A43D70" w:rsidRDefault="00575E7D" w:rsidP="00575E7D">
            <w:pPr>
              <w:spacing w:after="0" w:line="240" w:lineRule="auto"/>
              <w:rPr>
                <w:rFonts w:asciiTheme="minorHAnsi" w:hAnsiTheme="minorHAnsi"/>
                <w:b/>
              </w:rPr>
            </w:pPr>
            <w:r w:rsidRPr="00A43D70">
              <w:rPr>
                <w:rFonts w:asciiTheme="minorHAnsi" w:hAnsiTheme="minorHAnsi"/>
              </w:rPr>
              <w:t>15%</w:t>
            </w:r>
          </w:p>
        </w:tc>
        <w:tc>
          <w:tcPr>
            <w:tcW w:w="4394" w:type="dxa"/>
          </w:tcPr>
          <w:p w:rsidR="00575E7D" w:rsidRPr="00A43D70" w:rsidRDefault="00575E7D" w:rsidP="00575E7D">
            <w:pPr>
              <w:pStyle w:val="BodyText31"/>
              <w:widowControl/>
              <w:spacing w:line="240" w:lineRule="auto"/>
              <w:rPr>
                <w:rFonts w:asciiTheme="minorHAnsi" w:hAnsiTheme="minorHAnsi"/>
                <w:sz w:val="22"/>
                <w:szCs w:val="22"/>
              </w:rPr>
            </w:pPr>
            <w:r>
              <w:rPr>
                <w:rFonts w:asciiTheme="minorHAnsi" w:hAnsiTheme="minorHAnsi"/>
                <w:sz w:val="22"/>
              </w:rPr>
              <w:t>C</w:t>
            </w:r>
            <w:r w:rsidRPr="00A43D70">
              <w:rPr>
                <w:rFonts w:asciiTheme="minorHAnsi" w:hAnsiTheme="minorHAnsi"/>
                <w:sz w:val="22"/>
              </w:rPr>
              <w:t>ubre los temas del primer y segundo parcial</w:t>
            </w:r>
          </w:p>
        </w:tc>
      </w:tr>
    </w:tbl>
    <w:p w:rsidR="00724EF8" w:rsidRPr="00724EF8" w:rsidRDefault="00724EF8" w:rsidP="00724EF8">
      <w:pPr>
        <w:rPr>
          <w:sz w:val="24"/>
          <w:szCs w:val="24"/>
        </w:rPr>
      </w:pPr>
    </w:p>
    <w:p w:rsidR="00724EF8" w:rsidRDefault="00724EF8" w:rsidP="00724EF8">
      <w:pPr>
        <w:rPr>
          <w:b/>
          <w:sz w:val="24"/>
          <w:szCs w:val="24"/>
        </w:rPr>
      </w:pPr>
      <w:r>
        <w:rPr>
          <w:b/>
          <w:sz w:val="24"/>
          <w:szCs w:val="24"/>
        </w:rPr>
        <w:t>BIBLIOGRAFÍ</w:t>
      </w:r>
      <w:r w:rsidRPr="00F3633A">
        <w:rPr>
          <w:b/>
          <w:sz w:val="24"/>
          <w:szCs w:val="24"/>
        </w:rPr>
        <w:t>A</w:t>
      </w:r>
      <w:r>
        <w:rPr>
          <w:b/>
          <w:sz w:val="24"/>
          <w:szCs w:val="24"/>
        </w:rPr>
        <w:t xml:space="preserve"> COMPLEMENTARIA por unidades:</w:t>
      </w:r>
    </w:p>
    <w:tbl>
      <w:tblPr>
        <w:tblpPr w:leftFromText="141" w:rightFromText="141" w:vertAnchor="text" w:horzAnchor="margin" w:tblpY="281"/>
        <w:tblW w:w="8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52"/>
      </w:tblGrid>
      <w:tr w:rsidR="00724EF8" w:rsidRPr="000D39D0" w:rsidTr="00724EF8">
        <w:tc>
          <w:tcPr>
            <w:tcW w:w="1702" w:type="dxa"/>
          </w:tcPr>
          <w:p w:rsidR="00724EF8" w:rsidRPr="000D39D0" w:rsidRDefault="00724EF8" w:rsidP="00724EF8">
            <w:pPr>
              <w:spacing w:after="0" w:line="240" w:lineRule="auto"/>
              <w:rPr>
                <w:b/>
              </w:rPr>
            </w:pPr>
            <w:r>
              <w:rPr>
                <w:b/>
              </w:rPr>
              <w:t xml:space="preserve">Todas las unidades </w:t>
            </w:r>
          </w:p>
        </w:tc>
        <w:tc>
          <w:tcPr>
            <w:tcW w:w="7052" w:type="dxa"/>
          </w:tcPr>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rPr>
              <w:t>Borras, B. C., Pérez, A. S., Domingo G. S. Microeconometría y Decisión. Ediciones Pirámide. 2001.</w:t>
            </w:r>
          </w:p>
          <w:p w:rsidR="00724EF8" w:rsidRPr="00A008F6" w:rsidRDefault="00724EF8" w:rsidP="00575E7D">
            <w:pPr>
              <w:pStyle w:val="Prrafodelista"/>
              <w:numPr>
                <w:ilvl w:val="0"/>
                <w:numId w:val="13"/>
              </w:numPr>
              <w:jc w:val="both"/>
              <w:rPr>
                <w:rFonts w:asciiTheme="minorHAnsi" w:hAnsiTheme="minorHAnsi"/>
                <w:lang w:val="es-CO"/>
              </w:rPr>
            </w:pPr>
            <w:r w:rsidRPr="00575E7D">
              <w:rPr>
                <w:rFonts w:asciiTheme="minorHAnsi" w:hAnsiTheme="minorHAnsi"/>
              </w:rPr>
              <w:t xml:space="preserve">Caralt, J. S., Ortuño M. A., Bazo E. L., Rosselló, A. S. Análisis Económico Regional. Nociones básicas de la teoría de la Cointegración. </w:t>
            </w:r>
            <w:r w:rsidRPr="00A008F6">
              <w:rPr>
                <w:rFonts w:asciiTheme="minorHAnsi" w:hAnsiTheme="minorHAnsi"/>
                <w:lang w:val="es-CO"/>
              </w:rPr>
              <w:t>Universidad de Barcelona.1995.</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lang w:val="en-US"/>
              </w:rPr>
              <w:t xml:space="preserve">Enders, W. Applied Econometric Time Series. John Wiley &amp; Sons. 1995   Eviesws3. </w:t>
            </w:r>
            <w:r w:rsidRPr="00A008F6">
              <w:rPr>
                <w:rFonts w:asciiTheme="minorHAnsi" w:hAnsiTheme="minorHAnsi"/>
                <w:lang w:val="en-US"/>
              </w:rPr>
              <w:t xml:space="preserve">User’s guide. </w:t>
            </w:r>
            <w:r w:rsidRPr="00575E7D">
              <w:rPr>
                <w:rFonts w:asciiTheme="minorHAnsi" w:hAnsiTheme="minorHAnsi"/>
              </w:rPr>
              <w:t xml:space="preserve">1997 </w:t>
            </w:r>
          </w:p>
          <w:p w:rsidR="00724EF8" w:rsidRPr="00575E7D" w:rsidRDefault="00724EF8" w:rsidP="00575E7D">
            <w:pPr>
              <w:pStyle w:val="Prrafodelista"/>
              <w:numPr>
                <w:ilvl w:val="0"/>
                <w:numId w:val="13"/>
              </w:numPr>
              <w:jc w:val="both"/>
              <w:rPr>
                <w:rFonts w:asciiTheme="minorHAnsi" w:hAnsiTheme="minorHAnsi"/>
                <w:lang w:val="en-US"/>
              </w:rPr>
            </w:pPr>
            <w:r w:rsidRPr="00575E7D">
              <w:rPr>
                <w:rFonts w:asciiTheme="minorHAnsi" w:hAnsiTheme="minorHAnsi"/>
              </w:rPr>
              <w:t xml:space="preserve">Guerrero, G. V. Análisis estadístico de series de tiempo económicas. </w:t>
            </w:r>
            <w:r w:rsidRPr="00575E7D">
              <w:rPr>
                <w:rFonts w:asciiTheme="minorHAnsi" w:hAnsiTheme="minorHAnsi"/>
              </w:rPr>
              <w:lastRenderedPageBreak/>
              <w:t xml:space="preserve">Thomson. Segunda edición. </w:t>
            </w:r>
            <w:r w:rsidRPr="00575E7D">
              <w:rPr>
                <w:rFonts w:asciiTheme="minorHAnsi" w:hAnsiTheme="minorHAnsi"/>
                <w:lang w:val="en-US"/>
              </w:rPr>
              <w:t>2003.</w:t>
            </w:r>
          </w:p>
          <w:p w:rsidR="00724EF8" w:rsidRPr="00575E7D" w:rsidRDefault="00724EF8" w:rsidP="00575E7D">
            <w:pPr>
              <w:pStyle w:val="Prrafodelista"/>
              <w:numPr>
                <w:ilvl w:val="0"/>
                <w:numId w:val="13"/>
              </w:numPr>
              <w:jc w:val="both"/>
              <w:rPr>
                <w:rFonts w:asciiTheme="minorHAnsi" w:hAnsiTheme="minorHAnsi"/>
                <w:lang w:val="en-US"/>
              </w:rPr>
            </w:pPr>
            <w:r w:rsidRPr="00575E7D">
              <w:rPr>
                <w:rFonts w:asciiTheme="minorHAnsi" w:hAnsiTheme="minorHAnsi"/>
                <w:lang w:val="en-US"/>
              </w:rPr>
              <w:t xml:space="preserve">Greene, W. H. Econometrics Analysis. Prentince Hall. Cuarta Edición. 2000 </w:t>
            </w:r>
          </w:p>
          <w:p w:rsidR="00724EF8" w:rsidRPr="00575E7D" w:rsidRDefault="00724EF8" w:rsidP="00575E7D">
            <w:pPr>
              <w:pStyle w:val="Prrafodelista"/>
              <w:numPr>
                <w:ilvl w:val="0"/>
                <w:numId w:val="13"/>
              </w:numPr>
              <w:jc w:val="both"/>
              <w:rPr>
                <w:rFonts w:asciiTheme="minorHAnsi" w:hAnsiTheme="minorHAnsi"/>
                <w:lang w:val="en-US"/>
              </w:rPr>
            </w:pPr>
            <w:r w:rsidRPr="00575E7D">
              <w:rPr>
                <w:rFonts w:asciiTheme="minorHAnsi" w:hAnsiTheme="minorHAnsi"/>
                <w:lang w:val="en-US"/>
              </w:rPr>
              <w:t>Griffiths, W. E., R. C. Hill, G.G Judge. Learning and Practicing Econometrics. John Willey and Sons.  1993.</w:t>
            </w:r>
          </w:p>
          <w:p w:rsidR="00724EF8" w:rsidRPr="00575E7D" w:rsidRDefault="00724EF8" w:rsidP="00575E7D">
            <w:pPr>
              <w:pStyle w:val="Prrafodelista"/>
              <w:numPr>
                <w:ilvl w:val="0"/>
                <w:numId w:val="13"/>
              </w:numPr>
              <w:jc w:val="both"/>
              <w:rPr>
                <w:rFonts w:asciiTheme="minorHAnsi" w:hAnsiTheme="minorHAnsi"/>
                <w:lang w:val="en-US"/>
              </w:rPr>
            </w:pPr>
            <w:r w:rsidRPr="00A008F6">
              <w:rPr>
                <w:rFonts w:asciiTheme="minorHAnsi" w:hAnsiTheme="minorHAnsi"/>
                <w:lang w:val="es-CO"/>
              </w:rPr>
              <w:t xml:space="preserve">Gujarati. D. Econometría. McGraw - Hill. Cuarta Edición. </w:t>
            </w:r>
            <w:r w:rsidRPr="00575E7D">
              <w:rPr>
                <w:rFonts w:asciiTheme="minorHAnsi" w:hAnsiTheme="minorHAnsi"/>
                <w:lang w:val="en-US"/>
              </w:rPr>
              <w:t>2004.</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lang w:val="en-US"/>
              </w:rPr>
              <w:t xml:space="preserve">Judge, G. G., R. C. Hill, W. E. Griffiths, H. Lutkepohl, and T. C. Lee. Introduction to the Theory and Practice of Econometrics. John Willey and Sons. </w:t>
            </w:r>
            <w:r w:rsidRPr="00575E7D">
              <w:rPr>
                <w:rFonts w:asciiTheme="minorHAnsi" w:hAnsiTheme="minorHAnsi"/>
              </w:rPr>
              <w:t>Second Edition. 1988.</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rPr>
              <w:t xml:space="preserve">Maddala. G.S. Introducción a la econometría. Prentice Hall. Segunda edición. 1992. </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rPr>
              <w:t>Novales. A. Econometría. McGraw - Hill. Segunda Edición. 1993.</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rPr>
              <w:t>Otero; J. Econometría. Series temporales y predicción. Thomson. 1993.</w:t>
            </w:r>
          </w:p>
          <w:p w:rsidR="00724EF8" w:rsidRPr="00575E7D" w:rsidRDefault="00724EF8" w:rsidP="00575E7D">
            <w:pPr>
              <w:pStyle w:val="Prrafodelista"/>
              <w:numPr>
                <w:ilvl w:val="0"/>
                <w:numId w:val="13"/>
              </w:numPr>
              <w:jc w:val="both"/>
              <w:rPr>
                <w:rFonts w:asciiTheme="minorHAnsi" w:hAnsiTheme="minorHAnsi"/>
              </w:rPr>
            </w:pPr>
            <w:r w:rsidRPr="00575E7D">
              <w:rPr>
                <w:rFonts w:asciiTheme="minorHAnsi" w:hAnsiTheme="minorHAnsi"/>
              </w:rPr>
              <w:t>Wooldrigde, J.M. Introducción a la Econometría. Un enfoque moderno. Thomson. Primera edición. 2001.</w:t>
            </w:r>
          </w:p>
        </w:tc>
      </w:tr>
    </w:tbl>
    <w:p w:rsidR="00724EF8" w:rsidRPr="00724EF8" w:rsidRDefault="00724EF8" w:rsidP="00724EF8">
      <w:pPr>
        <w:rPr>
          <w:sz w:val="24"/>
          <w:szCs w:val="24"/>
        </w:rPr>
      </w:pPr>
    </w:p>
    <w:p w:rsidR="00724EF8" w:rsidRPr="00724EF8" w:rsidRDefault="00724EF8" w:rsidP="00724EF8">
      <w:pPr>
        <w:rPr>
          <w:sz w:val="24"/>
          <w:szCs w:val="24"/>
        </w:rPr>
      </w:pPr>
    </w:p>
    <w:p w:rsidR="00CD3EAB" w:rsidRPr="00724EF8" w:rsidRDefault="00CD3EAB" w:rsidP="00724EF8">
      <w:pPr>
        <w:rPr>
          <w:sz w:val="24"/>
          <w:szCs w:val="24"/>
        </w:rPr>
      </w:pPr>
    </w:p>
    <w:p w:rsidR="00942167" w:rsidRPr="00C76878" w:rsidRDefault="00942167" w:rsidP="00942167">
      <w:pPr>
        <w:rPr>
          <w:b/>
          <w:sz w:val="24"/>
          <w:szCs w:val="24"/>
        </w:rPr>
      </w:pPr>
    </w:p>
    <w:p w:rsidR="0064599D" w:rsidRDefault="0064599D"/>
    <w:sectPr w:rsidR="0064599D" w:rsidSect="008A7E5D">
      <w:footerReference w:type="default" r:id="rId8"/>
      <w:footerReference w:type="first" r:id="rId9"/>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B61" w:rsidRDefault="00F27B61" w:rsidP="005643DD">
      <w:pPr>
        <w:spacing w:after="0" w:line="240" w:lineRule="auto"/>
      </w:pPr>
      <w:r>
        <w:separator/>
      </w:r>
    </w:p>
  </w:endnote>
  <w:endnote w:type="continuationSeparator" w:id="0">
    <w:p w:rsidR="00F27B61" w:rsidRDefault="00F27B61" w:rsidP="005643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E5D" w:rsidRDefault="00C554BB">
    <w:pPr>
      <w:pStyle w:val="Piedepgina"/>
      <w:jc w:val="right"/>
    </w:pPr>
    <w:r>
      <w:fldChar w:fldCharType="begin"/>
    </w:r>
    <w:r w:rsidR="00942167">
      <w:instrText xml:space="preserve"> PAGE   \* MERGEFORMAT </w:instrText>
    </w:r>
    <w:r>
      <w:fldChar w:fldCharType="separate"/>
    </w:r>
    <w:r w:rsidR="00896FE6">
      <w:rPr>
        <w:noProof/>
      </w:rPr>
      <w:t>2</w:t>
    </w:r>
    <w:r>
      <w:fldChar w:fldCharType="end"/>
    </w:r>
  </w:p>
  <w:p w:rsidR="008A7E5D" w:rsidRDefault="008A7E5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8A7E5D" w:rsidRDefault="00C554BB">
        <w:pPr>
          <w:pStyle w:val="Piedepgina"/>
          <w:jc w:val="right"/>
        </w:pPr>
        <w:r>
          <w:fldChar w:fldCharType="begin"/>
        </w:r>
        <w:r w:rsidR="00942167">
          <w:instrText xml:space="preserve"> PAGE   \* MERGEFORMAT </w:instrText>
        </w:r>
        <w:r>
          <w:fldChar w:fldCharType="separate"/>
        </w:r>
        <w:r w:rsidR="00896FE6">
          <w:rPr>
            <w:noProof/>
          </w:rPr>
          <w:t>1</w:t>
        </w:r>
        <w:r>
          <w:fldChar w:fldCharType="end"/>
        </w:r>
      </w:p>
    </w:sdtContent>
  </w:sdt>
  <w:p w:rsidR="008A7E5D" w:rsidRDefault="008A7E5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B61" w:rsidRDefault="00F27B61" w:rsidP="005643DD">
      <w:pPr>
        <w:spacing w:after="0" w:line="240" w:lineRule="auto"/>
      </w:pPr>
      <w:r>
        <w:separator/>
      </w:r>
    </w:p>
  </w:footnote>
  <w:footnote w:type="continuationSeparator" w:id="0">
    <w:p w:rsidR="00F27B61" w:rsidRDefault="00F27B61" w:rsidP="005643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4DD7"/>
    <w:multiLevelType w:val="hybridMultilevel"/>
    <w:tmpl w:val="DA1041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3F82AB7"/>
    <w:multiLevelType w:val="hybridMultilevel"/>
    <w:tmpl w:val="C8F87E4A"/>
    <w:lvl w:ilvl="0" w:tplc="343A1D14">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7">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8">
    <w:nsid w:val="4D2004A2"/>
    <w:multiLevelType w:val="hybridMultilevel"/>
    <w:tmpl w:val="B59A7E2C"/>
    <w:lvl w:ilvl="0" w:tplc="6442A798">
      <w:numFmt w:val="bullet"/>
      <w:lvlText w:val="-"/>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2C2144F"/>
    <w:multiLevelType w:val="hybridMultilevel"/>
    <w:tmpl w:val="AA9A66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2"/>
  </w:num>
  <w:num w:numId="5">
    <w:abstractNumId w:val="11"/>
  </w:num>
  <w:num w:numId="6">
    <w:abstractNumId w:val="6"/>
  </w:num>
  <w:num w:numId="7">
    <w:abstractNumId w:val="1"/>
  </w:num>
  <w:num w:numId="8">
    <w:abstractNumId w:val="12"/>
  </w:num>
  <w:num w:numId="9">
    <w:abstractNumId w:val="9"/>
  </w:num>
  <w:num w:numId="10">
    <w:abstractNumId w:val="3"/>
  </w:num>
  <w:num w:numId="11">
    <w:abstractNumId w:val="10"/>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1"/>
    <w:footnote w:id="0"/>
  </w:footnotePr>
  <w:endnotePr>
    <w:endnote w:id="-1"/>
    <w:endnote w:id="0"/>
  </w:endnotePr>
  <w:compat/>
  <w:rsids>
    <w:rsidRoot w:val="00942167"/>
    <w:rsid w:val="000717BB"/>
    <w:rsid w:val="00134974"/>
    <w:rsid w:val="00196712"/>
    <w:rsid w:val="001B7791"/>
    <w:rsid w:val="002905A4"/>
    <w:rsid w:val="003A137A"/>
    <w:rsid w:val="00425448"/>
    <w:rsid w:val="00454C57"/>
    <w:rsid w:val="00482DF9"/>
    <w:rsid w:val="004B60DB"/>
    <w:rsid w:val="005643DD"/>
    <w:rsid w:val="00575E7D"/>
    <w:rsid w:val="00644165"/>
    <w:rsid w:val="0064599D"/>
    <w:rsid w:val="006764C8"/>
    <w:rsid w:val="00724EF8"/>
    <w:rsid w:val="008923F6"/>
    <w:rsid w:val="00896FE6"/>
    <w:rsid w:val="008A7E5D"/>
    <w:rsid w:val="00942167"/>
    <w:rsid w:val="00983E76"/>
    <w:rsid w:val="00A008F6"/>
    <w:rsid w:val="00A43D70"/>
    <w:rsid w:val="00B43EB5"/>
    <w:rsid w:val="00B74B64"/>
    <w:rsid w:val="00BF6BBF"/>
    <w:rsid w:val="00C15351"/>
    <w:rsid w:val="00C554BB"/>
    <w:rsid w:val="00C76878"/>
    <w:rsid w:val="00CD3EAB"/>
    <w:rsid w:val="00D31C35"/>
    <w:rsid w:val="00DA1524"/>
    <w:rsid w:val="00EE3A73"/>
    <w:rsid w:val="00F27B6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paragraph" w:styleId="Sangradetextonormal">
    <w:name w:val="Body Text Indent"/>
    <w:basedOn w:val="Normal"/>
    <w:link w:val="SangradetextonormalCar"/>
    <w:rsid w:val="00A43D70"/>
    <w:pPr>
      <w:spacing w:after="0" w:line="240" w:lineRule="exact"/>
      <w:ind w:left="288"/>
      <w:jc w:val="both"/>
    </w:pPr>
    <w:rPr>
      <w:rFonts w:ascii="Arial" w:eastAsia="Times New Roman" w:hAnsi="Arial"/>
      <w:szCs w:val="20"/>
      <w:lang w:val="es-CO" w:eastAsia="es-ES"/>
    </w:rPr>
  </w:style>
  <w:style w:type="character" w:customStyle="1" w:styleId="SangradetextonormalCar">
    <w:name w:val="Sangría de texto normal Car"/>
    <w:basedOn w:val="Fuentedeprrafopredeter"/>
    <w:link w:val="Sangradetextonormal"/>
    <w:rsid w:val="00A43D70"/>
    <w:rPr>
      <w:rFonts w:ascii="Arial" w:eastAsia="Times New Roman" w:hAnsi="Arial" w:cs="Times New Roman"/>
      <w:szCs w:val="20"/>
      <w:lang w:eastAsia="es-ES"/>
    </w:rPr>
  </w:style>
  <w:style w:type="paragraph" w:styleId="Textoindependiente">
    <w:name w:val="Body Text"/>
    <w:basedOn w:val="Normal"/>
    <w:link w:val="TextoindependienteCar"/>
    <w:uiPriority w:val="99"/>
    <w:unhideWhenUsed/>
    <w:rsid w:val="00134974"/>
    <w:pPr>
      <w:spacing w:after="120"/>
    </w:pPr>
  </w:style>
  <w:style w:type="character" w:customStyle="1" w:styleId="TextoindependienteCar">
    <w:name w:val="Texto independiente Car"/>
    <w:basedOn w:val="Fuentedeprrafopredeter"/>
    <w:link w:val="Textoindependiente"/>
    <w:uiPriority w:val="99"/>
    <w:rsid w:val="00134974"/>
    <w:rPr>
      <w:rFonts w:ascii="Calibri" w:eastAsia="Calibri" w:hAnsi="Calibri" w:cs="Times New Roman"/>
      <w:lang w:val="es-ES"/>
    </w:rPr>
  </w:style>
  <w:style w:type="paragraph" w:styleId="Sangra3detindependiente">
    <w:name w:val="Body Text Indent 3"/>
    <w:basedOn w:val="Normal"/>
    <w:link w:val="Sangra3detindependienteCar"/>
    <w:uiPriority w:val="99"/>
    <w:unhideWhenUsed/>
    <w:rsid w:val="001349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134974"/>
    <w:rPr>
      <w:rFonts w:ascii="Calibri" w:eastAsia="Calibri" w:hAnsi="Calibri" w:cs="Times New Roman"/>
      <w:sz w:val="16"/>
      <w:szCs w:val="16"/>
      <w:lang w:val="es-ES"/>
    </w:rPr>
  </w:style>
  <w:style w:type="paragraph" w:styleId="Lista3">
    <w:name w:val="List 3"/>
    <w:basedOn w:val="Normal"/>
    <w:uiPriority w:val="99"/>
    <w:unhideWhenUsed/>
    <w:rsid w:val="00134974"/>
    <w:pPr>
      <w:ind w:left="849" w:hanging="283"/>
      <w:contextualSpacing/>
    </w:pPr>
  </w:style>
</w:styles>
</file>

<file path=word/webSettings.xml><?xml version="1.0" encoding="utf-8"?>
<w:webSettings xmlns:r="http://schemas.openxmlformats.org/officeDocument/2006/relationships" xmlns:w="http://schemas.openxmlformats.org/wordprocessingml/2006/main">
  <w:divs>
    <w:div w:id="59868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1341</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12</cp:revision>
  <dcterms:created xsi:type="dcterms:W3CDTF">2010-07-27T13:29:00Z</dcterms:created>
  <dcterms:modified xsi:type="dcterms:W3CDTF">2010-08-12T19:16:00Z</dcterms:modified>
</cp:coreProperties>
</file>