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1262"/>
        <w:gridCol w:w="155"/>
        <w:gridCol w:w="381"/>
        <w:gridCol w:w="186"/>
        <w:gridCol w:w="1236"/>
        <w:gridCol w:w="323"/>
        <w:gridCol w:w="567"/>
        <w:gridCol w:w="89"/>
        <w:gridCol w:w="1329"/>
        <w:gridCol w:w="340"/>
        <w:gridCol w:w="227"/>
        <w:gridCol w:w="1205"/>
        <w:gridCol w:w="212"/>
        <w:gridCol w:w="709"/>
        <w:gridCol w:w="353"/>
        <w:gridCol w:w="781"/>
        <w:gridCol w:w="567"/>
      </w:tblGrid>
      <w:tr w:rsidR="00FB235F" w:rsidRPr="00B22C40" w:rsidTr="001D3602">
        <w:tc>
          <w:tcPr>
            <w:tcW w:w="14034" w:type="dxa"/>
            <w:gridSpan w:val="19"/>
            <w:shd w:val="clear" w:color="auto" w:fill="8DB3E2" w:themeFill="text2" w:themeFillTint="66"/>
            <w:vAlign w:val="center"/>
          </w:tcPr>
          <w:p w:rsidR="00FB235F" w:rsidRPr="00B22C40" w:rsidRDefault="00FB235F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IDENTIFICACIÓN</w:t>
            </w:r>
          </w:p>
        </w:tc>
      </w:tr>
      <w:tr w:rsidR="001C22DC" w:rsidRPr="00B22C40" w:rsidTr="00963489">
        <w:tc>
          <w:tcPr>
            <w:tcW w:w="3261" w:type="dxa"/>
            <w:vAlign w:val="center"/>
          </w:tcPr>
          <w:p w:rsidR="001C22DC" w:rsidRPr="00B22C40" w:rsidRDefault="001C22DC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050" w:type="dxa"/>
            <w:gridSpan w:val="9"/>
            <w:vAlign w:val="center"/>
          </w:tcPr>
          <w:p w:rsidR="001C22DC" w:rsidRPr="00782600" w:rsidRDefault="0055587D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782600">
              <w:rPr>
                <w:rFonts w:ascii="Arial" w:hAnsi="Arial" w:cs="Arial"/>
                <w:sz w:val="22"/>
                <w:szCs w:val="22"/>
              </w:rPr>
              <w:t>Maestría en Traducci</w:t>
            </w:r>
            <w:r w:rsidR="00FA524B" w:rsidRPr="00782600">
              <w:rPr>
                <w:rFonts w:ascii="Arial" w:hAnsi="Arial" w:cs="Arial"/>
                <w:sz w:val="22"/>
                <w:szCs w:val="22"/>
              </w:rPr>
              <w:t>ón</w:t>
            </w:r>
          </w:p>
        </w:tc>
        <w:tc>
          <w:tcPr>
            <w:tcW w:w="3101" w:type="dxa"/>
            <w:gridSpan w:val="4"/>
            <w:vAlign w:val="center"/>
          </w:tcPr>
          <w:p w:rsidR="001C22DC" w:rsidRPr="00B22C40" w:rsidRDefault="001C22DC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Código del programa</w:t>
            </w:r>
          </w:p>
        </w:tc>
        <w:tc>
          <w:tcPr>
            <w:tcW w:w="2622" w:type="dxa"/>
            <w:gridSpan w:val="5"/>
            <w:vAlign w:val="center"/>
          </w:tcPr>
          <w:p w:rsidR="001C22DC" w:rsidRPr="00782600" w:rsidRDefault="0057557E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782600">
              <w:rPr>
                <w:rFonts w:ascii="Arial" w:hAnsi="Arial" w:cs="Arial"/>
                <w:sz w:val="22"/>
                <w:szCs w:val="22"/>
              </w:rPr>
              <w:t>60175</w:t>
            </w:r>
          </w:p>
        </w:tc>
      </w:tr>
      <w:tr w:rsidR="0057557E" w:rsidRPr="00B22C40" w:rsidTr="00963489">
        <w:trPr>
          <w:gridAfter w:val="14"/>
          <w:wAfter w:w="8124" w:type="dxa"/>
          <w:trHeight w:val="238"/>
        </w:trPr>
        <w:tc>
          <w:tcPr>
            <w:tcW w:w="3261" w:type="dxa"/>
            <w:vMerge w:val="restart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Modalidad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Investigación</w:t>
            </w:r>
          </w:p>
        </w:tc>
        <w:tc>
          <w:tcPr>
            <w:tcW w:w="536" w:type="dxa"/>
            <w:gridSpan w:val="2"/>
            <w:vAlign w:val="center"/>
          </w:tcPr>
          <w:p w:rsidR="0057557E" w:rsidRPr="00782600" w:rsidRDefault="0078260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782600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57557E" w:rsidRPr="00B22C40" w:rsidTr="00963489">
        <w:trPr>
          <w:gridAfter w:val="14"/>
          <w:wAfter w:w="8124" w:type="dxa"/>
          <w:trHeight w:val="237"/>
        </w:trPr>
        <w:tc>
          <w:tcPr>
            <w:tcW w:w="3261" w:type="dxa"/>
            <w:vMerge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Profundizaci</w:t>
            </w:r>
            <w:r w:rsidR="00B22C40" w:rsidRPr="00B22C40">
              <w:rPr>
                <w:rFonts w:ascii="Arial" w:hAnsi="Arial" w:cs="Arial"/>
                <w:b/>
                <w:sz w:val="22"/>
                <w:szCs w:val="22"/>
              </w:rPr>
              <w:t>ón</w:t>
            </w: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536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557E" w:rsidRPr="00B22C40" w:rsidTr="00963489">
        <w:trPr>
          <w:gridAfter w:val="14"/>
          <w:wAfter w:w="8124" w:type="dxa"/>
          <w:trHeight w:val="238"/>
        </w:trPr>
        <w:tc>
          <w:tcPr>
            <w:tcW w:w="3261" w:type="dxa"/>
            <w:vMerge w:val="restart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Línea de investigación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TNT</w:t>
            </w:r>
          </w:p>
        </w:tc>
        <w:tc>
          <w:tcPr>
            <w:tcW w:w="536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557E" w:rsidRPr="00B22C40" w:rsidTr="00963489">
        <w:trPr>
          <w:gridAfter w:val="14"/>
          <w:wAfter w:w="8124" w:type="dxa"/>
          <w:trHeight w:val="237"/>
        </w:trPr>
        <w:tc>
          <w:tcPr>
            <w:tcW w:w="3261" w:type="dxa"/>
            <w:vMerge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Traductología      </w:t>
            </w:r>
          </w:p>
        </w:tc>
        <w:tc>
          <w:tcPr>
            <w:tcW w:w="536" w:type="dxa"/>
            <w:gridSpan w:val="2"/>
            <w:vAlign w:val="center"/>
          </w:tcPr>
          <w:p w:rsidR="0057557E" w:rsidRPr="00782600" w:rsidRDefault="0078260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782600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C169D" w:rsidRPr="00B22C40" w:rsidTr="00963489">
        <w:trPr>
          <w:trHeight w:val="283"/>
        </w:trPr>
        <w:tc>
          <w:tcPr>
            <w:tcW w:w="3261" w:type="dxa"/>
            <w:vAlign w:val="center"/>
          </w:tcPr>
          <w:p w:rsidR="007C169D" w:rsidRPr="00B22C40" w:rsidRDefault="007C169D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Nombre de la materia</w:t>
            </w:r>
          </w:p>
        </w:tc>
        <w:tc>
          <w:tcPr>
            <w:tcW w:w="6719" w:type="dxa"/>
            <w:gridSpan w:val="11"/>
            <w:vAlign w:val="center"/>
          </w:tcPr>
          <w:p w:rsidR="007C169D" w:rsidRPr="00782600" w:rsidRDefault="0078260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782600">
              <w:rPr>
                <w:rFonts w:ascii="Arial" w:hAnsi="Arial" w:cs="Arial"/>
                <w:sz w:val="22"/>
                <w:szCs w:val="22"/>
              </w:rPr>
              <w:t>Teoría e historia de la traducción.</w:t>
            </w:r>
          </w:p>
        </w:tc>
        <w:tc>
          <w:tcPr>
            <w:tcW w:w="2706" w:type="dxa"/>
            <w:gridSpan w:val="5"/>
            <w:vAlign w:val="center"/>
          </w:tcPr>
          <w:p w:rsidR="007C169D" w:rsidRPr="00B22C40" w:rsidRDefault="007C169D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Código materia</w:t>
            </w:r>
          </w:p>
        </w:tc>
        <w:tc>
          <w:tcPr>
            <w:tcW w:w="1348" w:type="dxa"/>
            <w:gridSpan w:val="2"/>
            <w:vAlign w:val="center"/>
          </w:tcPr>
          <w:p w:rsidR="007C169D" w:rsidRPr="00782600" w:rsidRDefault="0078260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782600">
              <w:rPr>
                <w:rFonts w:ascii="Arial" w:hAnsi="Arial" w:cs="Arial"/>
                <w:sz w:val="22"/>
                <w:szCs w:val="22"/>
              </w:rPr>
              <w:t>1301809</w:t>
            </w:r>
          </w:p>
        </w:tc>
      </w:tr>
      <w:tr w:rsidR="0057557E" w:rsidRPr="00B22C40" w:rsidTr="00963489">
        <w:tc>
          <w:tcPr>
            <w:tcW w:w="3261" w:type="dxa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Semestre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782600" w:rsidRDefault="0078260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7826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8" w:type="dxa"/>
            <w:gridSpan w:val="4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Créditos </w:t>
            </w:r>
          </w:p>
        </w:tc>
        <w:tc>
          <w:tcPr>
            <w:tcW w:w="6702" w:type="dxa"/>
            <w:gridSpan w:val="12"/>
            <w:vAlign w:val="center"/>
          </w:tcPr>
          <w:p w:rsidR="0057557E" w:rsidRPr="00B22C40" w:rsidRDefault="00782600" w:rsidP="007F4B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D3602" w:rsidRPr="00B22C40" w:rsidTr="00963489">
        <w:tc>
          <w:tcPr>
            <w:tcW w:w="3261" w:type="dxa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Prerrequisitos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782600" w:rsidRDefault="0078260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782600">
              <w:rPr>
                <w:rFonts w:ascii="Arial" w:hAnsi="Arial" w:cs="Arial"/>
                <w:sz w:val="22"/>
                <w:szCs w:val="22"/>
              </w:rPr>
              <w:t>1301805</w:t>
            </w:r>
          </w:p>
        </w:tc>
        <w:tc>
          <w:tcPr>
            <w:tcW w:w="1958" w:type="dxa"/>
            <w:gridSpan w:val="4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22C40">
              <w:rPr>
                <w:rFonts w:ascii="Arial" w:hAnsi="Arial" w:cs="Arial"/>
                <w:b/>
                <w:sz w:val="22"/>
                <w:szCs w:val="22"/>
              </w:rPr>
              <w:t>Correquisitos</w:t>
            </w:r>
            <w:proofErr w:type="spellEnd"/>
          </w:p>
        </w:tc>
        <w:tc>
          <w:tcPr>
            <w:tcW w:w="6702" w:type="dxa"/>
            <w:gridSpan w:val="12"/>
            <w:vAlign w:val="center"/>
          </w:tcPr>
          <w:p w:rsidR="0057557E" w:rsidRPr="00782600" w:rsidRDefault="0078260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782600">
              <w:rPr>
                <w:rFonts w:ascii="Arial" w:hAnsi="Arial" w:cs="Arial"/>
                <w:sz w:val="22"/>
                <w:szCs w:val="22"/>
              </w:rPr>
              <w:t>Ninguno</w:t>
            </w:r>
          </w:p>
        </w:tc>
      </w:tr>
      <w:tr w:rsidR="007F4BEC" w:rsidRPr="00B22C40" w:rsidTr="00963489">
        <w:tc>
          <w:tcPr>
            <w:tcW w:w="3261" w:type="dxa"/>
            <w:vAlign w:val="center"/>
          </w:tcPr>
          <w:p w:rsidR="00BF0442" w:rsidRPr="00B22C40" w:rsidRDefault="00BF044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Horas </w:t>
            </w:r>
            <w:r w:rsidR="00321528" w:rsidRPr="00B22C40">
              <w:rPr>
                <w:rFonts w:ascii="Arial" w:hAnsi="Arial" w:cs="Arial"/>
                <w:b/>
                <w:sz w:val="22"/>
                <w:szCs w:val="22"/>
              </w:rPr>
              <w:t>presenciales</w:t>
            </w:r>
          </w:p>
        </w:tc>
        <w:tc>
          <w:tcPr>
            <w:tcW w:w="851" w:type="dxa"/>
            <w:vAlign w:val="center"/>
          </w:tcPr>
          <w:p w:rsidR="00BF0442" w:rsidRPr="00782600" w:rsidRDefault="0078260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782600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9922" w:type="dxa"/>
            <w:gridSpan w:val="17"/>
            <w:shd w:val="clear" w:color="auto" w:fill="8DB3E2" w:themeFill="text2" w:themeFillTint="66"/>
            <w:vAlign w:val="center"/>
          </w:tcPr>
          <w:p w:rsidR="00BF0442" w:rsidRPr="00B22C40" w:rsidRDefault="00BF0442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Características </w:t>
            </w:r>
          </w:p>
        </w:tc>
      </w:tr>
      <w:tr w:rsidR="001D3602" w:rsidRPr="00B22C40" w:rsidTr="00963489">
        <w:tc>
          <w:tcPr>
            <w:tcW w:w="3261" w:type="dxa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Horas independientes</w:t>
            </w:r>
          </w:p>
        </w:tc>
        <w:tc>
          <w:tcPr>
            <w:tcW w:w="851" w:type="dxa"/>
            <w:vAlign w:val="center"/>
          </w:tcPr>
          <w:p w:rsidR="00B22C40" w:rsidRPr="00782600" w:rsidRDefault="0078260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78260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22C40">
              <w:rPr>
                <w:rFonts w:ascii="Arial" w:hAnsi="Arial" w:cs="Arial"/>
                <w:b/>
                <w:sz w:val="22"/>
                <w:szCs w:val="22"/>
              </w:rPr>
              <w:t>Habilitable</w:t>
            </w:r>
            <w:proofErr w:type="spellEnd"/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B22C40" w:rsidRPr="00782600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78260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59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Clasificable </w:t>
            </w:r>
          </w:p>
        </w:tc>
        <w:tc>
          <w:tcPr>
            <w:tcW w:w="567" w:type="dxa"/>
            <w:vAlign w:val="center"/>
          </w:tcPr>
          <w:p w:rsidR="00B22C40" w:rsidRPr="00782600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78260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18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Validable</w:t>
            </w:r>
          </w:p>
        </w:tc>
        <w:tc>
          <w:tcPr>
            <w:tcW w:w="567" w:type="dxa"/>
            <w:gridSpan w:val="2"/>
            <w:vAlign w:val="center"/>
          </w:tcPr>
          <w:p w:rsidR="00B22C40" w:rsidRPr="00782600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78260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17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Obligatoria</w:t>
            </w:r>
          </w:p>
        </w:tc>
        <w:tc>
          <w:tcPr>
            <w:tcW w:w="709" w:type="dxa"/>
            <w:vAlign w:val="center"/>
          </w:tcPr>
          <w:p w:rsidR="00B22C40" w:rsidRPr="00782600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78260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4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Electiva</w:t>
            </w:r>
          </w:p>
        </w:tc>
        <w:tc>
          <w:tcPr>
            <w:tcW w:w="567" w:type="dxa"/>
            <w:vAlign w:val="center"/>
          </w:tcPr>
          <w:p w:rsidR="00B22C40" w:rsidRPr="00782600" w:rsidRDefault="0078260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78260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22C40" w:rsidRPr="00B22C40" w:rsidTr="00963489">
        <w:tc>
          <w:tcPr>
            <w:tcW w:w="3261" w:type="dxa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Acta y fecha de aprobación </w:t>
            </w:r>
          </w:p>
        </w:tc>
        <w:tc>
          <w:tcPr>
            <w:tcW w:w="10773" w:type="dxa"/>
            <w:gridSpan w:val="18"/>
            <w:vAlign w:val="center"/>
          </w:tcPr>
          <w:p w:rsidR="00B22C40" w:rsidRPr="00782600" w:rsidRDefault="001D3602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782600">
              <w:rPr>
                <w:rFonts w:ascii="Arial" w:hAnsi="Arial" w:cs="Arial"/>
                <w:sz w:val="22"/>
                <w:szCs w:val="22"/>
              </w:rPr>
              <w:t xml:space="preserve">Acuerdo del Consejo de Escuela N° 061 del 28 de noviembre de 2011 aprobado según </w:t>
            </w:r>
            <w:r w:rsidR="00B22C40" w:rsidRPr="00782600">
              <w:rPr>
                <w:rFonts w:ascii="Arial" w:hAnsi="Arial" w:cs="Arial"/>
                <w:sz w:val="22"/>
                <w:szCs w:val="22"/>
              </w:rPr>
              <w:t>Acta del Consejo de Escuela N° 709 del 21 de noviembre de 2011.</w:t>
            </w:r>
          </w:p>
        </w:tc>
      </w:tr>
    </w:tbl>
    <w:p w:rsidR="00B03C22" w:rsidRPr="00B22C40" w:rsidRDefault="00B03C22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AE1CFC" w:rsidRPr="00B22C40" w:rsidTr="00AE1CFC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Pr="00B22C40" w:rsidRDefault="00AE1CFC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AE1CFC" w:rsidRPr="00B22C40" w:rsidTr="0083254B">
        <w:trPr>
          <w:trHeight w:val="543"/>
        </w:trPr>
        <w:tc>
          <w:tcPr>
            <w:tcW w:w="14034" w:type="dxa"/>
          </w:tcPr>
          <w:p w:rsidR="00AE1CFC" w:rsidRPr="00DA75C9" w:rsidRDefault="00DA75C9" w:rsidP="00DA75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75C9">
              <w:rPr>
                <w:rFonts w:ascii="Arial" w:hAnsi="Arial" w:cs="Arial"/>
                <w:sz w:val="22"/>
                <w:szCs w:val="22"/>
              </w:rPr>
              <w:t>Identificar, contrastar y analizar los diversos temas y perspectivas que constituyen la historia y la teoría de la traducción en el contexto hispanoamericano con el fin de establecer un panorama crítico de esta tradición y su relación con los estudios generales de la traductología.</w:t>
            </w: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AE1CFC" w:rsidRPr="00B22C40" w:rsidTr="00AE1CFC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Pr="00B22C40" w:rsidRDefault="00AE1CFC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AE1CFC" w:rsidRPr="00B22C40" w:rsidTr="00AE1CFC">
        <w:tc>
          <w:tcPr>
            <w:tcW w:w="14034" w:type="dxa"/>
            <w:vAlign w:val="center"/>
          </w:tcPr>
          <w:p w:rsidR="00AE1CFC" w:rsidRDefault="00DA75C9" w:rsidP="00DA75C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Conocer y explicar los temas de investigación en historia de la traducción en el contexto latinoamericano a la luz de los diferentes eventos históricos que han marcado la historia del continente.</w:t>
            </w:r>
          </w:p>
          <w:p w:rsidR="00DA75C9" w:rsidRDefault="00DA75C9" w:rsidP="00DA75C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Identificar corrientes, pensadores e investigadores de la historia de la traducción en Hispanoamérica a través de un recorrido bibliográfico</w:t>
            </w:r>
            <w:r w:rsidR="0046570F">
              <w:rPr>
                <w:rFonts w:cs="Arial"/>
                <w:sz w:val="22"/>
                <w:szCs w:val="22"/>
              </w:rPr>
              <w:t>.</w:t>
            </w:r>
          </w:p>
          <w:p w:rsidR="00AE1CFC" w:rsidRPr="00DA75C9" w:rsidRDefault="00DA75C9" w:rsidP="00DA75C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Reconocer diversas aproximaciones y metodologías al estudio de la historia de la traducción en </w:t>
            </w:r>
            <w:r w:rsidR="0046570F">
              <w:rPr>
                <w:rFonts w:cs="Arial"/>
                <w:sz w:val="22"/>
                <w:szCs w:val="22"/>
              </w:rPr>
              <w:t>Hispanoamérica.</w:t>
            </w:r>
          </w:p>
          <w:p w:rsidR="00AE1CFC" w:rsidRPr="00B22C40" w:rsidRDefault="00AE1CFC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AE1CFC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Pr="00B22C40" w:rsidRDefault="00FB1AC2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CONTENIDO</w:t>
            </w:r>
            <w:r w:rsidR="00F865E9" w:rsidRPr="00B22C40">
              <w:rPr>
                <w:rFonts w:ascii="Arial" w:hAnsi="Arial" w:cs="Arial"/>
                <w:b/>
                <w:sz w:val="22"/>
                <w:szCs w:val="22"/>
              </w:rPr>
              <w:t xml:space="preserve"> GENERAL</w:t>
            </w:r>
          </w:p>
        </w:tc>
      </w:tr>
      <w:tr w:rsidR="00AE1CFC" w:rsidRPr="00B22C40" w:rsidTr="00AE1CFC">
        <w:tc>
          <w:tcPr>
            <w:tcW w:w="14034" w:type="dxa"/>
          </w:tcPr>
          <w:p w:rsidR="00DA75C9" w:rsidRPr="004D7F64" w:rsidRDefault="00DA75C9" w:rsidP="00DA75C9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 w:rsidRPr="004D7F64">
              <w:rPr>
                <w:rFonts w:cs="Arial"/>
                <w:sz w:val="22"/>
                <w:szCs w:val="22"/>
              </w:rPr>
              <w:t xml:space="preserve">Unidad 1: </w:t>
            </w:r>
            <w:r>
              <w:rPr>
                <w:rFonts w:cs="Arial"/>
                <w:sz w:val="22"/>
                <w:szCs w:val="22"/>
              </w:rPr>
              <w:t>Generalidades de la historia de la traducción en Hispanoamérica</w:t>
            </w:r>
          </w:p>
          <w:p w:rsidR="00DA75C9" w:rsidRDefault="00DA75C9" w:rsidP="00DA75C9">
            <w:pPr>
              <w:pStyle w:val="Prrafodelista"/>
              <w:numPr>
                <w:ilvl w:val="1"/>
                <w:numId w:val="33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Épocas y eventos históricos claves para una construcción de la historia de la traducción en Hispanoamérica.</w:t>
            </w:r>
          </w:p>
          <w:p w:rsidR="00DA75C9" w:rsidRDefault="00DA75C9" w:rsidP="00DA75C9">
            <w:pPr>
              <w:pStyle w:val="Prrafodelista"/>
              <w:numPr>
                <w:ilvl w:val="1"/>
                <w:numId w:val="33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historia de la traducción y el reconocimiento de una identidad “americana”.</w:t>
            </w:r>
          </w:p>
          <w:p w:rsidR="00DA75C9" w:rsidRDefault="00DA75C9" w:rsidP="00DA75C9">
            <w:pPr>
              <w:pStyle w:val="Prrafodelista"/>
              <w:numPr>
                <w:ilvl w:val="1"/>
                <w:numId w:val="33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Lugar de la historia de la traducción en el marco de los Estudios de Traducción en Colombia</w:t>
            </w:r>
            <w:r w:rsidR="0046570F">
              <w:rPr>
                <w:rFonts w:cs="Arial"/>
                <w:sz w:val="22"/>
                <w:szCs w:val="22"/>
              </w:rPr>
              <w:t>.</w:t>
            </w:r>
          </w:p>
          <w:p w:rsidR="00DA75C9" w:rsidRPr="00DA75C9" w:rsidRDefault="00DA75C9" w:rsidP="00DA75C9">
            <w:pPr>
              <w:pStyle w:val="Prrafodelista"/>
              <w:numPr>
                <w:ilvl w:val="1"/>
                <w:numId w:val="33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Identificación de autores e investigadores de la historia de la traducción en Hispanoamérica.</w:t>
            </w:r>
          </w:p>
          <w:p w:rsidR="00DA75C9" w:rsidRDefault="00DA75C9" w:rsidP="00DA75C9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="Arial"/>
                <w:sz w:val="22"/>
                <w:szCs w:val="22"/>
              </w:rPr>
            </w:pPr>
            <w:r w:rsidRPr="004D7F64">
              <w:rPr>
                <w:rFonts w:cs="Arial"/>
                <w:sz w:val="22"/>
                <w:szCs w:val="22"/>
              </w:rPr>
              <w:lastRenderedPageBreak/>
              <w:t xml:space="preserve">Unidad 2: </w:t>
            </w:r>
            <w:r>
              <w:rPr>
                <w:rFonts w:cs="Arial"/>
                <w:sz w:val="22"/>
                <w:szCs w:val="22"/>
              </w:rPr>
              <w:t xml:space="preserve">Descubrimiento, Conquista y Colonia </w:t>
            </w:r>
          </w:p>
          <w:p w:rsidR="00DA75C9" w:rsidRDefault="00DA75C9" w:rsidP="00DA75C9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Los intérpretes y la mediación lingüística</w:t>
            </w:r>
            <w:r w:rsidR="0046570F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DA75C9" w:rsidRDefault="008F3738" w:rsidP="00DA75C9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función “civilizatoria” desde los estudios misionales</w:t>
            </w:r>
            <w:r w:rsidR="0046570F">
              <w:rPr>
                <w:rFonts w:cs="Arial"/>
                <w:sz w:val="22"/>
                <w:szCs w:val="22"/>
              </w:rPr>
              <w:t>.</w:t>
            </w:r>
          </w:p>
          <w:p w:rsidR="008F3738" w:rsidRDefault="008F3738" w:rsidP="00DA75C9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Revisión del discurso colonizador</w:t>
            </w:r>
            <w:r w:rsidR="0046570F">
              <w:rPr>
                <w:rFonts w:cs="Arial"/>
                <w:sz w:val="22"/>
                <w:szCs w:val="22"/>
              </w:rPr>
              <w:t>.</w:t>
            </w:r>
          </w:p>
          <w:p w:rsidR="00DA75C9" w:rsidRDefault="008F3738" w:rsidP="00DA75C9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Unidad 3: </w:t>
            </w:r>
            <w:r w:rsidRPr="00655358">
              <w:rPr>
                <w:rFonts w:asciiTheme="majorHAnsi" w:hAnsiTheme="majorHAnsi"/>
                <w:szCs w:val="24"/>
              </w:rPr>
              <w:t>Emancipación y consolidación de las Repúblicas, Siglo XX</w:t>
            </w:r>
          </w:p>
          <w:p w:rsidR="00DA75C9" w:rsidRDefault="008F3738" w:rsidP="00DA75C9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traducción como vehículo hacia la independencia</w:t>
            </w:r>
            <w:r w:rsidR="0046570F">
              <w:rPr>
                <w:rFonts w:cs="Arial"/>
                <w:sz w:val="22"/>
                <w:szCs w:val="22"/>
              </w:rPr>
              <w:t xml:space="preserve"> y la consolidación de las naciones</w:t>
            </w:r>
            <w:r w:rsidR="00304998">
              <w:rPr>
                <w:rFonts w:cs="Arial"/>
                <w:sz w:val="22"/>
                <w:szCs w:val="22"/>
              </w:rPr>
              <w:t>.</w:t>
            </w:r>
          </w:p>
          <w:p w:rsidR="008F3738" w:rsidRDefault="00304998" w:rsidP="00DA75C9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traducción y las industrias editoriales.</w:t>
            </w:r>
          </w:p>
          <w:p w:rsidR="008F3738" w:rsidRDefault="0046570F" w:rsidP="00DA75C9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traducción y su rol en la transferencia de saberes y modelos</w:t>
            </w:r>
          </w:p>
          <w:p w:rsidR="00DA75C9" w:rsidRPr="003E18A2" w:rsidRDefault="00DA75C9" w:rsidP="00DA75C9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="Arial"/>
                <w:sz w:val="22"/>
                <w:szCs w:val="22"/>
              </w:rPr>
            </w:pPr>
            <w:r w:rsidRPr="003E18A2">
              <w:rPr>
                <w:rFonts w:cs="Arial"/>
                <w:sz w:val="22"/>
                <w:szCs w:val="22"/>
              </w:rPr>
              <w:t xml:space="preserve">Unidad 4: </w:t>
            </w:r>
            <w:r w:rsidR="008F3738">
              <w:rPr>
                <w:rFonts w:cs="Arial"/>
                <w:sz w:val="22"/>
                <w:szCs w:val="22"/>
              </w:rPr>
              <w:t>Historia de la traducción en el contexto colombiano</w:t>
            </w:r>
            <w:r w:rsidRPr="003E18A2">
              <w:rPr>
                <w:rFonts w:cs="Arial"/>
                <w:sz w:val="22"/>
                <w:szCs w:val="22"/>
              </w:rPr>
              <w:t xml:space="preserve"> </w:t>
            </w:r>
          </w:p>
          <w:p w:rsidR="00DA75C9" w:rsidRPr="00304998" w:rsidRDefault="00304998" w:rsidP="00DA75C9">
            <w:pPr>
              <w:pStyle w:val="Prrafodelista"/>
              <w:numPr>
                <w:ilvl w:val="0"/>
                <w:numId w:val="36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Panorama general</w:t>
            </w:r>
          </w:p>
          <w:p w:rsidR="00304998" w:rsidRPr="00304998" w:rsidRDefault="00304998" w:rsidP="00DA75C9">
            <w:pPr>
              <w:pStyle w:val="Prrafodelista"/>
              <w:numPr>
                <w:ilvl w:val="0"/>
                <w:numId w:val="36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La traducción como tema de múltiples disciplinas </w:t>
            </w:r>
          </w:p>
          <w:p w:rsidR="00304998" w:rsidRPr="00957AC1" w:rsidRDefault="00304998" w:rsidP="00DA75C9">
            <w:pPr>
              <w:pStyle w:val="Prrafodelista"/>
              <w:numPr>
                <w:ilvl w:val="0"/>
                <w:numId w:val="36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Traductores e intelectuales, su rol como agentes de cambio.</w:t>
            </w:r>
          </w:p>
          <w:p w:rsidR="00DA75C9" w:rsidRDefault="00DA75C9" w:rsidP="00DA75C9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="Arial"/>
                <w:sz w:val="22"/>
                <w:szCs w:val="22"/>
              </w:rPr>
            </w:pPr>
            <w:r w:rsidRPr="003E18A2">
              <w:rPr>
                <w:rFonts w:cs="Arial"/>
                <w:sz w:val="22"/>
                <w:szCs w:val="22"/>
              </w:rPr>
              <w:t xml:space="preserve">Unidad 5: </w:t>
            </w:r>
            <w:r w:rsidR="008F3738">
              <w:rPr>
                <w:rFonts w:cs="Arial"/>
                <w:sz w:val="22"/>
                <w:szCs w:val="22"/>
              </w:rPr>
              <w:t>Actualidad y nuevas perspectivas</w:t>
            </w:r>
          </w:p>
          <w:p w:rsidR="008F3738" w:rsidRDefault="008F3738" w:rsidP="008F3738">
            <w:pPr>
              <w:pStyle w:val="Prrafodelista"/>
              <w:numPr>
                <w:ilvl w:val="0"/>
                <w:numId w:val="37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Por una historia transnacional</w:t>
            </w:r>
          </w:p>
          <w:p w:rsidR="00304998" w:rsidRPr="008F3738" w:rsidRDefault="00304998" w:rsidP="008F3738">
            <w:pPr>
              <w:pStyle w:val="Prrafodelista"/>
              <w:numPr>
                <w:ilvl w:val="0"/>
                <w:numId w:val="37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Por una historia inter y </w:t>
            </w:r>
            <w:proofErr w:type="spellStart"/>
            <w:r>
              <w:rPr>
                <w:rFonts w:cs="Arial"/>
                <w:sz w:val="22"/>
                <w:szCs w:val="22"/>
              </w:rPr>
              <w:t>transdisciplinaria</w:t>
            </w:r>
            <w:proofErr w:type="spellEnd"/>
            <w:r>
              <w:rPr>
                <w:rFonts w:cs="Arial"/>
                <w:sz w:val="22"/>
                <w:szCs w:val="22"/>
              </w:rPr>
              <w:t>.</w:t>
            </w: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FB1AC2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B22C40" w:rsidRDefault="00FB1AC2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FB1AC2" w:rsidRPr="00B22C40" w:rsidTr="00792D28">
        <w:tc>
          <w:tcPr>
            <w:tcW w:w="14034" w:type="dxa"/>
          </w:tcPr>
          <w:p w:rsidR="00720CAC" w:rsidRDefault="00720CAC" w:rsidP="008F373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F3738" w:rsidRPr="008F3738" w:rsidRDefault="008F3738" w:rsidP="008F373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F3738">
              <w:rPr>
                <w:rFonts w:ascii="Arial" w:hAnsi="Arial" w:cs="Arial"/>
                <w:bCs/>
                <w:sz w:val="22"/>
                <w:szCs w:val="22"/>
              </w:rPr>
              <w:t xml:space="preserve">La metodología implementada en el curso consiste en la lectura y discusión de los artículos propuestos por el profesor. Los textos serán abordados directamente por el profesor a través de preguntas clave o por los estudiantes a través de presentaciones en clase. </w:t>
            </w:r>
          </w:p>
          <w:p w:rsidR="008F3738" w:rsidRPr="008F3738" w:rsidRDefault="008F3738" w:rsidP="008F3738">
            <w:p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B1AC2" w:rsidRDefault="008F3738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8F3738">
              <w:rPr>
                <w:rFonts w:ascii="Arial" w:hAnsi="Arial" w:cs="Arial"/>
                <w:sz w:val="22"/>
                <w:szCs w:val="22"/>
              </w:rPr>
              <w:t>Este curs</w:t>
            </w:r>
            <w:r>
              <w:rPr>
                <w:rFonts w:ascii="Arial" w:hAnsi="Arial" w:cs="Arial"/>
                <w:sz w:val="22"/>
                <w:szCs w:val="22"/>
              </w:rPr>
              <w:t xml:space="preserve">o pretende abordar los diversos temas que constituye actualmente la historia de la traducción en el contexto </w:t>
            </w:r>
            <w:r w:rsidR="00720CAC">
              <w:rPr>
                <w:rFonts w:ascii="Arial" w:hAnsi="Arial" w:cs="Arial"/>
                <w:sz w:val="22"/>
                <w:szCs w:val="22"/>
              </w:rPr>
              <w:t>hispanoamericano</w:t>
            </w:r>
            <w:r>
              <w:rPr>
                <w:rFonts w:ascii="Arial" w:hAnsi="Arial" w:cs="Arial"/>
                <w:sz w:val="22"/>
                <w:szCs w:val="22"/>
              </w:rPr>
              <w:t xml:space="preserve"> a partir de la lectura y análisis de los trabajos realizados actualmente por investigadores del área. </w:t>
            </w:r>
            <w:r w:rsidRPr="008F3738">
              <w:rPr>
                <w:rFonts w:ascii="Arial" w:hAnsi="Arial" w:cs="Arial"/>
                <w:sz w:val="22"/>
                <w:szCs w:val="22"/>
              </w:rPr>
              <w:t xml:space="preserve">De ahí la importancia de que los estudiantes presenten, de manera crítica, </w:t>
            </w:r>
            <w:r>
              <w:rPr>
                <w:rFonts w:ascii="Arial" w:hAnsi="Arial" w:cs="Arial"/>
                <w:sz w:val="22"/>
                <w:szCs w:val="22"/>
              </w:rPr>
              <w:t xml:space="preserve">los </w:t>
            </w:r>
            <w:r w:rsidRPr="008F3738">
              <w:rPr>
                <w:rFonts w:ascii="Arial" w:hAnsi="Arial" w:cs="Arial"/>
                <w:sz w:val="22"/>
                <w:szCs w:val="22"/>
              </w:rPr>
              <w:t>diversos artículos</w:t>
            </w:r>
            <w:r w:rsidR="00720CAC">
              <w:rPr>
                <w:rFonts w:ascii="Arial" w:hAnsi="Arial" w:cs="Arial"/>
                <w:sz w:val="22"/>
                <w:szCs w:val="22"/>
              </w:rPr>
              <w:t xml:space="preserve"> propuestos</w:t>
            </w:r>
            <w:r w:rsidRPr="008F3738">
              <w:rPr>
                <w:rFonts w:ascii="Arial" w:hAnsi="Arial" w:cs="Arial"/>
                <w:sz w:val="22"/>
                <w:szCs w:val="22"/>
              </w:rPr>
              <w:t xml:space="preserve"> en clase para que la perspectiva sea lo más amplia posible. De igual manera </w:t>
            </w:r>
            <w:r>
              <w:rPr>
                <w:rFonts w:ascii="Arial" w:hAnsi="Arial" w:cs="Arial"/>
                <w:sz w:val="22"/>
                <w:szCs w:val="22"/>
              </w:rPr>
              <w:t>a partir de presentaciones individuales se abordaran trabajos de grado o de investigación en el área de la historia de la traducción en Hispanoamérica.</w:t>
            </w:r>
            <w:r w:rsidR="00720CAC">
              <w:rPr>
                <w:rFonts w:ascii="Arial" w:hAnsi="Arial" w:cs="Arial"/>
                <w:sz w:val="22"/>
                <w:szCs w:val="22"/>
              </w:rPr>
              <w:t xml:space="preserve"> En clase, fuera de las discusiones de la bibliografía propuesta, se traerá material de discusión como traducciones o artículos complementarios con el fin de generar debate alrededor del análisis contrastivo de traducciones o la discusión adicional de temas y textos que vienen a completar los artículos propuestos.</w:t>
            </w:r>
          </w:p>
          <w:p w:rsidR="00720CAC" w:rsidRDefault="00720CAC" w:rsidP="007F4BEC">
            <w:pPr>
              <w:rPr>
                <w:rFonts w:ascii="Arial" w:hAnsi="Arial" w:cs="Arial"/>
                <w:sz w:val="22"/>
                <w:szCs w:val="22"/>
              </w:rPr>
            </w:pPr>
          </w:p>
          <w:p w:rsidR="00720CAC" w:rsidRPr="00B22C40" w:rsidRDefault="00720CAC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B1AC2" w:rsidRPr="00B22C40" w:rsidRDefault="00FB1AC2" w:rsidP="007F4BEC">
      <w:pPr>
        <w:rPr>
          <w:rFonts w:ascii="Arial" w:hAnsi="Arial" w:cs="Arial"/>
          <w:b/>
          <w:sz w:val="22"/>
          <w:szCs w:val="22"/>
        </w:rPr>
      </w:pPr>
    </w:p>
    <w:p w:rsidR="007A3BF0" w:rsidRPr="00B22C40" w:rsidRDefault="007A3BF0" w:rsidP="007F4BEC">
      <w:pPr>
        <w:rPr>
          <w:rFonts w:ascii="Arial" w:hAnsi="Arial" w:cs="Arial"/>
          <w:b/>
          <w:sz w:val="22"/>
          <w:szCs w:val="22"/>
        </w:rPr>
      </w:pPr>
    </w:p>
    <w:p w:rsidR="007A3BF0" w:rsidRPr="00B22C40" w:rsidRDefault="007A3BF0" w:rsidP="007F4BEC">
      <w:pPr>
        <w:rPr>
          <w:rFonts w:ascii="Arial" w:hAnsi="Arial" w:cs="Arial"/>
          <w:b/>
          <w:sz w:val="22"/>
          <w:szCs w:val="22"/>
        </w:rPr>
      </w:pPr>
    </w:p>
    <w:p w:rsidR="007A3BF0" w:rsidRPr="00B22C40" w:rsidRDefault="007A3BF0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FB1AC2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B22C40" w:rsidRDefault="00FB1AC2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  <w:lang w:val="es-CO"/>
              </w:rPr>
              <w:t>ACTIVIDADES</w:t>
            </w:r>
          </w:p>
        </w:tc>
      </w:tr>
      <w:tr w:rsidR="00FB1AC2" w:rsidRPr="00B22C40" w:rsidTr="00792D28">
        <w:tc>
          <w:tcPr>
            <w:tcW w:w="14034" w:type="dxa"/>
          </w:tcPr>
          <w:p w:rsidR="008F3738" w:rsidRPr="00730793" w:rsidRDefault="008F3738" w:rsidP="008F37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Actividades en c</w:t>
            </w:r>
            <w:r w:rsidRPr="00730793">
              <w:rPr>
                <w:rFonts w:ascii="Arial" w:hAnsi="Arial" w:cs="Arial"/>
                <w:sz w:val="22"/>
                <w:szCs w:val="22"/>
              </w:rPr>
              <w:t>lase</w:t>
            </w:r>
          </w:p>
          <w:p w:rsidR="008F3738" w:rsidRPr="00730793" w:rsidRDefault="008F3738" w:rsidP="008F3738">
            <w:pPr>
              <w:pStyle w:val="Prrafodelista"/>
              <w:numPr>
                <w:ilvl w:val="0"/>
                <w:numId w:val="39"/>
              </w:numPr>
              <w:jc w:val="both"/>
              <w:rPr>
                <w:rFonts w:cs="Arial"/>
                <w:sz w:val="22"/>
                <w:szCs w:val="22"/>
              </w:rPr>
            </w:pPr>
            <w:r w:rsidRPr="00730793">
              <w:rPr>
                <w:rFonts w:cs="Arial"/>
                <w:sz w:val="22"/>
                <w:szCs w:val="22"/>
              </w:rPr>
              <w:t>Discusión de textos asignados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8F3738" w:rsidRDefault="008F3738" w:rsidP="008F3738">
            <w:pPr>
              <w:pStyle w:val="Prrafodelista"/>
              <w:numPr>
                <w:ilvl w:val="0"/>
                <w:numId w:val="39"/>
              </w:numPr>
              <w:jc w:val="both"/>
              <w:rPr>
                <w:rFonts w:cs="Arial"/>
                <w:sz w:val="22"/>
                <w:szCs w:val="22"/>
              </w:rPr>
            </w:pPr>
            <w:r w:rsidRPr="00730793">
              <w:rPr>
                <w:rFonts w:cs="Arial"/>
                <w:sz w:val="22"/>
                <w:szCs w:val="22"/>
              </w:rPr>
              <w:t>Presentación de artículos.</w:t>
            </w:r>
          </w:p>
          <w:p w:rsidR="008F3738" w:rsidRDefault="008F3738" w:rsidP="008F3738">
            <w:pPr>
              <w:pStyle w:val="Prrafodelista"/>
              <w:numPr>
                <w:ilvl w:val="0"/>
                <w:numId w:val="39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Análisis de caso de traductores particulares</w:t>
            </w:r>
          </w:p>
          <w:p w:rsidR="00720CAC" w:rsidRPr="00730793" w:rsidRDefault="00720CAC" w:rsidP="008F3738">
            <w:pPr>
              <w:pStyle w:val="Prrafodelista"/>
              <w:numPr>
                <w:ilvl w:val="0"/>
                <w:numId w:val="39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Análisis de material complementario</w:t>
            </w:r>
          </w:p>
          <w:p w:rsidR="008F3738" w:rsidRPr="00730793" w:rsidRDefault="008F3738" w:rsidP="008F37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3738" w:rsidRDefault="008F3738" w:rsidP="008F37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793">
              <w:rPr>
                <w:rFonts w:ascii="Arial" w:hAnsi="Arial" w:cs="Arial"/>
                <w:sz w:val="22"/>
                <w:szCs w:val="22"/>
              </w:rPr>
              <w:t>Trabajo independiente</w:t>
            </w:r>
          </w:p>
          <w:p w:rsidR="008F3738" w:rsidRDefault="008F3738" w:rsidP="008F3738">
            <w:pPr>
              <w:pStyle w:val="Prrafodelista"/>
              <w:numPr>
                <w:ilvl w:val="0"/>
                <w:numId w:val="40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Lectura de los textos y de la bibliografía complementaria</w:t>
            </w:r>
          </w:p>
          <w:p w:rsidR="00441D9D" w:rsidRDefault="00441D9D" w:rsidP="008F3738">
            <w:pPr>
              <w:pStyle w:val="Prrafodelista"/>
              <w:numPr>
                <w:ilvl w:val="0"/>
                <w:numId w:val="40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Lectura y análisis de </w:t>
            </w:r>
            <w:r w:rsidR="00720CAC">
              <w:rPr>
                <w:rFonts w:cs="Arial"/>
                <w:sz w:val="22"/>
                <w:szCs w:val="22"/>
              </w:rPr>
              <w:t xml:space="preserve">una </w:t>
            </w:r>
            <w:r>
              <w:rPr>
                <w:rFonts w:cs="Arial"/>
                <w:sz w:val="22"/>
                <w:szCs w:val="22"/>
              </w:rPr>
              <w:t>obra en particular para realizar una presentación en clase</w:t>
            </w:r>
          </w:p>
          <w:p w:rsidR="00FB1AC2" w:rsidRPr="00441D9D" w:rsidRDefault="008F3738" w:rsidP="007F4BEC">
            <w:pPr>
              <w:pStyle w:val="Prrafodelista"/>
              <w:numPr>
                <w:ilvl w:val="0"/>
                <w:numId w:val="40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441D9D">
              <w:rPr>
                <w:rFonts w:cs="Arial"/>
                <w:sz w:val="22"/>
                <w:szCs w:val="22"/>
              </w:rPr>
              <w:t>scritura de informes de lectura.</w:t>
            </w:r>
          </w:p>
          <w:p w:rsidR="00FB1AC2" w:rsidRPr="00B22C40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FB1AC2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B22C40" w:rsidRDefault="00254E61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EVALUACIÓ</w:t>
            </w:r>
            <w:r w:rsidR="00FB1AC2" w:rsidRPr="00B22C40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FB1AC2" w:rsidRPr="00B22C40" w:rsidTr="00792D28">
        <w:tc>
          <w:tcPr>
            <w:tcW w:w="14034" w:type="dxa"/>
          </w:tcPr>
          <w:p w:rsidR="00FB1AC2" w:rsidRPr="00B22C40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3738" w:rsidRDefault="008F3738" w:rsidP="008F37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D0D">
              <w:rPr>
                <w:rFonts w:ascii="Arial" w:hAnsi="Arial" w:cs="Arial"/>
                <w:sz w:val="22"/>
                <w:szCs w:val="22"/>
              </w:rPr>
              <w:t xml:space="preserve">La evaluación del curso se </w:t>
            </w:r>
            <w:r>
              <w:rPr>
                <w:rFonts w:ascii="Arial" w:hAnsi="Arial" w:cs="Arial"/>
                <w:sz w:val="22"/>
                <w:szCs w:val="22"/>
              </w:rPr>
              <w:t>realiza de la siguiente manera:</w:t>
            </w:r>
          </w:p>
          <w:p w:rsidR="008F3738" w:rsidRDefault="008F3738" w:rsidP="008F37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3738" w:rsidRDefault="00441D9D" w:rsidP="008F3738">
            <w:pPr>
              <w:pStyle w:val="Prrafodelista"/>
              <w:numPr>
                <w:ilvl w:val="0"/>
                <w:numId w:val="4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Seguimiento</w:t>
            </w:r>
            <w:r w:rsidR="008F3738">
              <w:rPr>
                <w:rFonts w:cs="Arial"/>
                <w:sz w:val="22"/>
                <w:szCs w:val="22"/>
              </w:rPr>
              <w:t xml:space="preserve"> (</w:t>
            </w:r>
            <w:r>
              <w:rPr>
                <w:rFonts w:cs="Arial"/>
                <w:sz w:val="22"/>
                <w:szCs w:val="22"/>
              </w:rPr>
              <w:t>P</w:t>
            </w:r>
            <w:r w:rsidR="008F3738">
              <w:rPr>
                <w:rFonts w:cs="Arial"/>
                <w:sz w:val="22"/>
                <w:szCs w:val="22"/>
              </w:rPr>
              <w:t>resentación de artículos</w:t>
            </w:r>
            <w:r>
              <w:rPr>
                <w:rFonts w:cs="Arial"/>
                <w:sz w:val="22"/>
                <w:szCs w:val="22"/>
              </w:rPr>
              <w:t xml:space="preserve"> y escritura de informes</w:t>
            </w:r>
            <w:r w:rsidR="008F3738">
              <w:rPr>
                <w:rFonts w:cs="Arial"/>
                <w:sz w:val="22"/>
                <w:szCs w:val="22"/>
              </w:rPr>
              <w:t xml:space="preserve">): </w:t>
            </w:r>
            <w:r>
              <w:rPr>
                <w:rFonts w:cs="Arial"/>
                <w:sz w:val="22"/>
                <w:szCs w:val="22"/>
              </w:rPr>
              <w:t>50</w:t>
            </w:r>
            <w:r w:rsidR="008F3738">
              <w:rPr>
                <w:rFonts w:cs="Arial"/>
                <w:sz w:val="22"/>
                <w:szCs w:val="22"/>
              </w:rPr>
              <w:t>%</w:t>
            </w:r>
          </w:p>
          <w:p w:rsidR="008F3738" w:rsidRDefault="00441D9D" w:rsidP="008F3738">
            <w:pPr>
              <w:pStyle w:val="Prrafodelista"/>
              <w:numPr>
                <w:ilvl w:val="0"/>
                <w:numId w:val="4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Presentación </w:t>
            </w:r>
            <w:r w:rsidR="008F3738">
              <w:rPr>
                <w:rFonts w:cs="Arial"/>
                <w:sz w:val="22"/>
                <w:szCs w:val="22"/>
              </w:rPr>
              <w:t>25%</w:t>
            </w:r>
          </w:p>
          <w:p w:rsidR="008F3738" w:rsidRDefault="00441D9D" w:rsidP="008F3738">
            <w:pPr>
              <w:pStyle w:val="Prrafodelista"/>
              <w:numPr>
                <w:ilvl w:val="0"/>
                <w:numId w:val="4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Trabajo final</w:t>
            </w:r>
            <w:r w:rsidR="008F3738">
              <w:rPr>
                <w:rFonts w:cs="Arial"/>
                <w:sz w:val="22"/>
                <w:szCs w:val="22"/>
              </w:rPr>
              <w:t xml:space="preserve"> 25%</w:t>
            </w:r>
          </w:p>
          <w:p w:rsidR="00FB1AC2" w:rsidRPr="00B22C40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1AC2" w:rsidRPr="00B22C40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FB1AC2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B22C40" w:rsidRDefault="00FB1AC2" w:rsidP="007F4BE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BIBLIOGRAFÍA Y CIBERGRAFÍA SUGERIDAS</w:t>
            </w:r>
            <w:r w:rsidR="00CD3D9B" w:rsidRPr="00B22C40">
              <w:rPr>
                <w:rFonts w:ascii="Arial" w:hAnsi="Arial" w:cs="Arial"/>
                <w:b/>
                <w:sz w:val="22"/>
                <w:szCs w:val="22"/>
              </w:rPr>
              <w:t xml:space="preserve"> (Regirse por las normas APA)</w:t>
            </w:r>
          </w:p>
        </w:tc>
      </w:tr>
      <w:tr w:rsidR="00FB1AC2" w:rsidRPr="00B22C40" w:rsidTr="00792D28">
        <w:tc>
          <w:tcPr>
            <w:tcW w:w="14034" w:type="dxa"/>
          </w:tcPr>
          <w:p w:rsidR="00FB1AC2" w:rsidRPr="00E26162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6162" w:rsidRPr="00E26162" w:rsidRDefault="00E26162" w:rsidP="00E26162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0" w:name="_ENREF_2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Adamo, G. (Ed.). (2012b).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La traducción literaria en América Latina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. Buenos Aires: Fundación TyPa/Editorial Paidós.</w:t>
            </w:r>
            <w:bookmarkEnd w:id="0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1" w:name="_ENREF_5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Aguirre, B. E. (2004). Soledad Acosta de Samper y su papel en la traducción en Colombia en el siglo XIX.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Ikala: Revista de Lenguaje y Cultura, 9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(15), 233-267.</w:t>
            </w:r>
            <w:bookmarkEnd w:id="1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bookmarkStart w:id="2" w:name="_ENREF_6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Alfaqueque, G. (Ed.). (2010).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Los límites de Babel. Ensayos sobre la comunicación entre lenguas y culturas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.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Madrid/Frankfurt: Iberoamericana/Vervuert.</w:t>
            </w:r>
            <w:bookmarkEnd w:id="2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3" w:name="_ENREF_8"/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Alves, P. E., &amp; Milton, J. (2008). The mixed identity of the Catholic religion in the texts translated by the Jesuit priest Jose de Anchieta in 16th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lastRenderedPageBreak/>
              <w:t xml:space="preserve">century Brazil.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Trans. Revista de traductología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(12), 67-79.</w:t>
            </w:r>
            <w:bookmarkEnd w:id="3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4" w:name="_ENREF_9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Ángel, C. (2012).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Entre la fidelidad y la religión: Miguel Antonio Caro traductor.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(Tesis de Maestría, Universidad de Antioquia, Medellín). </w:t>
            </w:r>
            <w:bookmarkEnd w:id="4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5" w:name="_ENREF_10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Arencibia, L. (1993). Apuntes para una historia de la traducción en Cuba.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Livivs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(3), 1-17.</w:t>
            </w:r>
            <w:bookmarkEnd w:id="5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De http://www.histal.ca/documents/index-alphabetique-par-auteur-2/?lang=es</w:t>
            </w:r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bookmarkStart w:id="6" w:name="_ENREF_11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Arencibia, L. (1995). La traducción: MARE NOSTRUM muchos siglos después.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fr-CA"/>
              </w:rPr>
              <w:t>Hieronymus Complutensis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(1), 53-61.</w:t>
            </w:r>
            <w:bookmarkEnd w:id="6"/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 xml:space="preserve"> De http://www.hist</w:t>
            </w:r>
            <w:bookmarkStart w:id="7" w:name="_GoBack"/>
            <w:bookmarkEnd w:id="7"/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al.ca/documents/index-alphabetique-par-auteur-2/?lang=es</w:t>
            </w:r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8" w:name="_ENREF_12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Arencibia, L. (1996/1997). La traducción en las tertulias literarias del siglo XIX en Cuba.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 xml:space="preserve">Hieronymus Complutensis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(4-5), 27-40.</w:t>
            </w:r>
            <w:bookmarkEnd w:id="8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9" w:name="_ENREF_13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Arencibia, L. (2004). Algunas reflexiones sobre la presencia en la literatura cubana del siglo XIX de Victor Hugo a través de sus traducciones en homenaje a su bicentenario.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Hieronymus Complutensis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(11), 71-78.</w:t>
            </w:r>
            <w:bookmarkEnd w:id="9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10" w:name="_ENREF_14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Arencibia, L. (2012). Los espacios de la traducción en las revistas culturales de la primera mitad del siglo XX en Cuba y su papel renovador. En F. Lafarga &amp; L. Pegenaute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Aspectos de la historia de la traducción en Hispanoamérica: Autores, traducciones y traductores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57-65). Vigo: Editorial Academia del Hispanismo.</w:t>
            </w:r>
            <w:bookmarkStart w:id="11" w:name="_ENREF_15"/>
            <w:bookmarkEnd w:id="10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Arencibia, L. (2013). José Julián Martí Pérez. En F. Lafarga &amp; L. Pegenaute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Diccionario histórico de la traducción en Hispanoamérica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251-253).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Madrid/Frankfurt: Iberoamericana/Vervuert.</w:t>
            </w:r>
            <w:bookmarkStart w:id="12" w:name="_ENREF_20"/>
            <w:bookmarkEnd w:id="11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Baigorri, J., &amp; Araguás, I. A. (2004a). Iconography of Interpreters in the Conquest of the Americas.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fr-CA"/>
              </w:rPr>
              <w:t>TTR: traduction, terminologie, rédaction, 17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(1), 129-153.</w:t>
            </w:r>
            <w:bookmarkEnd w:id="12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13" w:name="_ENREF_21"/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 xml:space="preserve">Baigorri, J., &amp; Araguás, I. A. (2004b).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La mediación lingüístico-cultural en las Crónicas de la Conquista: reflexiones metodológicas en torno a Bernal Díaz del Castillo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HISTAL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. De http://www.histal.ca/wp-content/uploads/2011/08/La-mediaci%C3%B3n-ling%C3%BC%C3%ADstico-cultural-en-las-Cr%C3%B3nicas-de-la-Conquista.pdf</w:t>
            </w:r>
            <w:bookmarkEnd w:id="13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14" w:name="_ENREF_25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Bañuls, M. (2012). Fórmulas y expresiones prehispánicas en la literatura de evangelización: la nahuatlización del cristianismo. En F. Lafarga &amp; L. Pegenaute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Lengua, cultura y política en la historia de la traducción en Hispanoamérica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221-229). Vigo: Editorial Academia del Hispanismo.</w:t>
            </w:r>
            <w:bookmarkEnd w:id="14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15" w:name="_ENREF_27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Bastin, G. L. (2003). Por una historia de la traducción en Hispanoamérica.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Ikala: Revista de Lenguaje y Cultura, 8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(14), 193-217.</w:t>
            </w:r>
            <w:bookmarkEnd w:id="15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16" w:name="_ENREF_28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Bastin, G. L. (2006a). Francisco de Miranda, “precursor” de traducciones.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 xml:space="preserve">Boletín de la Academia Nacional de Historia de Venezuela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(354), 167-197.</w:t>
            </w:r>
            <w:bookmarkEnd w:id="16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De http://www.histal.ca/documents/index-alphabetique-par-auteur-2/?lang=es</w:t>
            </w:r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bookmarkStart w:id="17" w:name="_ENREF_29"/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Bastin, G. L. (2006b). Subjectivity and Rigour in Translation History: The Latin American Case. En G. Bastin &amp; P. Bandia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  <w:t>Charting the Future of Translation HIstory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(pp. 111-129). Ottawa: University of Ottawa Press.</w:t>
            </w:r>
            <w:bookmarkEnd w:id="17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18" w:name="_ENREF_30"/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Bastin, G. L. (2007). Histoire, traductions et traductologie. En G. Wotjak (Ed.),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  <w:t>Quo vadis Translatologie ? Ein halbes Jahrhundert universitäre Ausbildung von Dolmetschern und Übersetzern in Leipzig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(pp. 35-44).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Berlin: Frank/Timme GmbH.</w:t>
            </w:r>
            <w:bookmarkEnd w:id="18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19" w:name="_ENREF_32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lastRenderedPageBreak/>
              <w:t xml:space="preserve">Bastin, G. L. (2008). Introducción Dossier La Traducción y la conformación de la identidad latinoamericana.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Trans. Revista de traductología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(12), 11-14.</w:t>
            </w:r>
            <w:bookmarkEnd w:id="19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bookmarkStart w:id="20" w:name="_ENREF_33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Bastin, G. L. (2009a). Latin American tradition.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En M. Baker &amp; G. Saldanha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  <w:t>Routledge encyclopedia of translation studies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(2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vertAlign w:val="superscript"/>
                <w:lang w:val="en-US"/>
              </w:rPr>
              <w:t>e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éd., pp. 133-136.). London/New York: Routledge.</w:t>
            </w:r>
            <w:bookmarkEnd w:id="20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21" w:name="_ENREF_34"/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Bastin, G. L. (2009b). Leguas amerindias.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En F. Lafarga &amp; L. Pegenaute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Diccionario histórico de la traducción en España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. Madrid: Gredos.</w:t>
            </w:r>
            <w:bookmarkEnd w:id="21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22" w:name="_ENREF_35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Bastin, G. L. (2010a). La pertinencia de los estudios históricos sobre traducción en Hispanoamérica.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Estudios Interdisciplinarios de América Latina y el Caribe, 21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(1), 17-28.</w:t>
            </w:r>
            <w:bookmarkEnd w:id="22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23" w:name="_ENREF_36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Bastin, G. L. (2010b).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 xml:space="preserve">Traduction et histoire. Les indispensables paratextes.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En J. C. de Miguel, C. Hernández &amp; J. Pinilla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Enfoques de teoría, traducción y didáctica de la lengua francesa. Estudios dedicados a la profesora Brigitte Lépinette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47-60). Valencia: Universitat de València.</w:t>
            </w:r>
            <w:bookmarkEnd w:id="23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24" w:name="_ENREF_38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Bastin, G. L., &amp; Castrillón, R. (2004). La carta dirigida a los españoles americanos, una carta que recorrió muchos caminos.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Hermeneus, 6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, 273-290.</w:t>
            </w:r>
            <w:bookmarkEnd w:id="24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bookmarkStart w:id="25" w:name="_ENREF_39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Bastin, G. L., &amp; Díaz, A. (2004). Las tribulaciones de la Carmañola (y de la Marsellesa) en América Latina.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fr-CA"/>
              </w:rPr>
              <w:t>Trans. Revista de traductología, 8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, 29-39.</w:t>
            </w:r>
            <w:bookmarkEnd w:id="25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bookmarkStart w:id="26" w:name="_ENREF_40"/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 xml:space="preserve">Bastin, G. L., &amp; Echeverri, Á. (2004). Traduction et révolution à l'époque de l'indépendance hispano-américaine.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fr-CA"/>
              </w:rPr>
              <w:t>Meta. Journal des traducteurs, 49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(3), 562-575.</w:t>
            </w:r>
            <w:bookmarkEnd w:id="26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27" w:name="_ENREF_41"/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 xml:space="preserve">Bastin, G. L., Echeverri, Á., &amp; Campo, Á. (2004).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La traducción en América Latina: propia y apropiada.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Estudios. Revista de Investigaciones Literarias y Culturales, 24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, 69-94.</w:t>
            </w:r>
            <w:bookmarkEnd w:id="27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28" w:name="_ENREF_42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Bastin, G. L., &amp; Iturriza, M. G. (2008). La traduccion como elemento creador de identidad en la prensa independentista de Venezuela (1808-1822).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Trans. Revista de Traductologia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(12), 81-94.</w:t>
            </w:r>
            <w:bookmarkEnd w:id="28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29" w:name="_ENREF_43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Bastin, G. L., &amp; Pérez Arreaza, L. (2012). Las traducciones franciscanas en Venezuela: entre la práctica y la teoría. En M. Á. Vega (Ed.),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Traductores hispanos de la orden franciscana en Hispanoamérica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79-89). Lima: Universidad Ricardo Palma.</w:t>
            </w:r>
            <w:bookmarkEnd w:id="29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30" w:name="_ENREF_44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Batticuore, G. (2004). Intérpretes, traductores y censores. Eduarda y Lucio Mansilla: miradas desde/sobre la pampa.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Estudios. Revista de Investigaciones Literarias y Culturales, 24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, 133-155.</w:t>
            </w:r>
            <w:bookmarkEnd w:id="30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</w:rPr>
            </w:pPr>
            <w:bookmarkStart w:id="31" w:name="_ENREF_45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Bedoya, G. A. (2012). La traducción como práctica moderna de lo literario. El caso del suplemento El Nuevo Tiempo Literario (Bogotá: 1903-1915, 1927-1929). En F. Lafarga &amp; L. Pegenaute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Lengua, cultura y política en la historia de la traducción en Hispanoamérica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31-39). </w:t>
            </w:r>
            <w:r w:rsidRPr="00E26162">
              <w:rPr>
                <w:rFonts w:ascii="Arial" w:hAnsi="Arial" w:cs="Arial"/>
                <w:noProof/>
                <w:sz w:val="22"/>
                <w:szCs w:val="22"/>
              </w:rPr>
              <w:t>Vigo: Editorial Academia del Hispanismo.</w:t>
            </w:r>
            <w:bookmarkEnd w:id="31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bookmarkStart w:id="32" w:name="_ENREF_57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Caro, J. G. (2010). La domesticación de las lenguas. De las gramáticas europeas a las gramáticas amerindias (de 1492 al siglo XVIII).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fr-CA"/>
              </w:rPr>
              <w:lastRenderedPageBreak/>
              <w:t>Mutatis Mutandis, 3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(1), 3 – 29</w:t>
            </w:r>
            <w:bookmarkEnd w:id="32"/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. De http://aprendeenlinea.udea.edu.co/revistas/index.php/mutatismutandis</w:t>
            </w:r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33" w:name="_ENREF_58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Castellanos, D. (2012). Miguel Antonio Caro como poeta-traductor. En F. E. Goenaga (Ed.),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Poéticas de la traducción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13-35). Bogotá: Universidad de los Andes.</w:t>
            </w:r>
            <w:bookmarkEnd w:id="33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34" w:name="_ENREF_59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Castro, B., &amp; Aguilà, C. (2012).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La Licorne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de Susana Soca: una constelación de traductores entre París y Montevideo. En F. Lafarga &amp; L. Pegenaute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Lengua, cultura y política en la historia de la traducción en Hispanoamérica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41-52). Vigo: Editorial Academia del Hispanismo.</w:t>
            </w:r>
            <w:bookmarkEnd w:id="34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35" w:name="_ENREF_60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Castro, N. (2010). Historia de la traducción e historia de la filosofía en México: Relatos y metarrelatos.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Estudios Interdisciplinarios de América Latina y el Caribe, 21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(1), 33-52.</w:t>
            </w:r>
            <w:bookmarkEnd w:id="35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bookmarkStart w:id="36" w:name="_ENREF_61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Castro, N. (2012a). La representación de la “tradición filosófica alemana” en sus traducciones al español: Una mirada paratextual.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fr-CA"/>
              </w:rPr>
              <w:t>Mutatis Mutandis, 5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(1), 3-16.</w:t>
            </w:r>
            <w:bookmarkEnd w:id="36"/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 xml:space="preserve"> De http://aprendeenlinea.udea.edu.co/revistas/index.php/mutatismutandis</w:t>
            </w:r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37" w:name="_ENREF_62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Castro, N. (2012b). Los traductores de la red filosófica mexicana (1940-1970). En F. Lafarga &amp; L. Pegenaute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Aspectos de la historia de la traducción en Hispanoamérica: Autores, traducciones y traductores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83-91). Vigo: Editorial Academia del Hispanismo.</w:t>
            </w:r>
            <w:bookmarkEnd w:id="37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38" w:name="_ENREF_77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Delisle, J. (2003). La historia de la traducción: su importancia para la traductología y su enseñanza mediante un programa didáctico multimedia y multilingüe.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Ikala: Revista de Lenguaje y Cultura, 8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(14), 221-235.</w:t>
            </w:r>
            <w:bookmarkEnd w:id="38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bookmarkStart w:id="39" w:name="_ENREF_78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Delisle, J., &amp; Woodsworth, J. (1995).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fr-CA"/>
              </w:rPr>
              <w:t>Les traducteurs En l'histoire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. Ottawa/Paris: Presses de l’Université d’Ottawa/Éditions Unesco.</w:t>
            </w:r>
            <w:bookmarkEnd w:id="39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40" w:name="_ENREF_79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Delisle, J., &amp; Woodsworth, J. (2005).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Los traductores en la historia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. Medellín: Editorial Universidad de Antioquia.</w:t>
            </w:r>
            <w:bookmarkEnd w:id="40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bookmarkStart w:id="41" w:name="_ENREF_94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Falcón, A. (2013). Traductores del exilio: el caso argentino en España (1976-1983). Apuntes sobre el tratamiento de las fuentes testimoniales en historia reciente de la traducción.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fr-CA"/>
              </w:rPr>
              <w:t>Mutatis Mutandis, 6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(1), 60-83.</w:t>
            </w:r>
            <w:bookmarkEnd w:id="41"/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 xml:space="preserve"> De </w:t>
            </w:r>
            <w:hyperlink r:id="rId8" w:history="1">
              <w:r w:rsidRPr="00E26162">
                <w:rPr>
                  <w:rStyle w:val="Hipervnculo"/>
                  <w:rFonts w:ascii="Arial" w:hAnsi="Arial" w:cs="Arial"/>
                  <w:noProof/>
                  <w:sz w:val="22"/>
                  <w:szCs w:val="22"/>
                  <w:lang w:val="fr-CA"/>
                </w:rPr>
                <w:t>http://aprendeenlinea.udea.edu.co/revistas/index.php/mutatismutandis</w:t>
              </w:r>
            </w:hyperlink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 xml:space="preserve">. </w:t>
            </w:r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42" w:name="_ENREF_100"/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Fossa, L. (2005). Juan de Betanzos, the man who boasted being a translator.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Meta. Journal des traducteurs, 50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(3), 906-933.</w:t>
            </w:r>
            <w:bookmarkEnd w:id="42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43" w:name="_ENREF_101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Fossa, L. (2008). El difuso perfil de Juan de Betanzos como traductor de lengusa indígenas.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Trans. Revista de traductología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(12), 51-65.</w:t>
            </w:r>
            <w:bookmarkEnd w:id="43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44" w:name="_ENREF_103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Foz, C. (2000).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El traductor, la Iglesia y el rey. La traducción en España en los siglos XII y XIII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. Barcelona: Editorial Gedisa.</w:t>
            </w:r>
            <w:bookmarkEnd w:id="44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</w:rPr>
            </w:pPr>
            <w:bookmarkStart w:id="45" w:name="_ENREF_104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Foz, C., &amp; Castro, N. (2013). La circulación de las ideas positivistas en Argentina y en México: editores y traductores (1850-1950).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</w:rPr>
              <w:t>Revista MonTI, 5</w:t>
            </w:r>
            <w:r w:rsidRPr="00E26162">
              <w:rPr>
                <w:rFonts w:ascii="Arial" w:hAnsi="Arial" w:cs="Arial"/>
                <w:noProof/>
                <w:sz w:val="22"/>
                <w:szCs w:val="22"/>
              </w:rPr>
              <w:t>, 365-388.</w:t>
            </w:r>
            <w:bookmarkEnd w:id="45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46" w:name="_ENREF_142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Lafarga, F., &amp; Pegenaute, L. (Eds.). (2013).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Diccionario histórico de la traducción en Hispanoamérica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. Madrid/Frankfurt: Iberoamericana/Vervuert.</w:t>
            </w:r>
            <w:bookmarkEnd w:id="46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47" w:name="_ENREF_143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Lafarga, F., &amp; Pegenaute, L. (Eds.). (2012a).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Aspectos de la historia de la traducción en Hispanoamérica: autores, traducciones y traductores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. Vigo: Editorial Academia del Hispanismo.</w:t>
            </w:r>
            <w:bookmarkEnd w:id="47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bookmarkStart w:id="48" w:name="_ENREF_144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Lafarga, F., &amp; Pegenaute, L. (Eds.). (2012b).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Lengua, cultura y política en la historia de la traducción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.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Vigo: Editorial Academia del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lastRenderedPageBreak/>
              <w:t>Hispanismo.</w:t>
            </w:r>
            <w:bookmarkEnd w:id="48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bookmarkStart w:id="49" w:name="_ENREF_145"/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Larkosh, C. (2004). Reading In/Between: Migrant Bodies, Latin American Translations.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fr-CA"/>
              </w:rPr>
              <w:t>TTR: traduction, terminologie, rédaction, 17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(1), 107-128.</w:t>
            </w:r>
            <w:bookmarkEnd w:id="49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50" w:name="_ENREF_171"/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 xml:space="preserve">Montoya, P. A. (2010).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fr-CA"/>
              </w:rPr>
              <w:t>Rafael Pombo: La Traduction Comme Mediation Interculturelle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 xml:space="preserve">.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Alemania: Éditions Universitaires Européenes </w:t>
            </w:r>
            <w:bookmarkEnd w:id="50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51" w:name="_ENREF_172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Montoya, P. A. (2013). Rafael Pombo. En F. Lafarga &amp; L. Pegenaute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Diccionario histórico de la traducción en Hispanoamérica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366-369). Madrid/Frankfurt: Iberoamericana/Vervuert.</w:t>
            </w:r>
            <w:bookmarkEnd w:id="51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52" w:name="_ENREF_173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Montoya, P. A., &amp; Ramírez, J. G. (2011). Rafael Pombo y Candelario Obeso: Traducciones e intercambios culturales en la Colombia del siglo XIX. En A. Pagni, G. Payàs &amp; P. Willson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Traductores y traducciones en la historia cultural de América Latina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159-174). México: Universidad Nacional Autónoma de México.</w:t>
            </w:r>
            <w:bookmarkEnd w:id="52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53" w:name="_ENREF_174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Montoya, P. A., Ramírez, J. G., &amp; Ángel, C. (2006). Una investigación en historia de la traducción: cuatro traductores colombianos del siglo XIX.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Ikala: Revista de Lenguaje y Cultura, 11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(17), 13-30.</w:t>
            </w:r>
            <w:bookmarkEnd w:id="53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54" w:name="_ENREF_178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Navarro, A. (2010). Las traducciones como fuentes para la prensa en el siglo XIX: el caso de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La Gaceta de Caracas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ikala: Revista de Lenguaje y Cultura, 15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(24), 15-43.</w:t>
            </w:r>
            <w:bookmarkEnd w:id="54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55" w:name="_ENREF_179"/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 xml:space="preserve">Navarro, A. (2011).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fr-CA"/>
              </w:rPr>
              <w:t>La Gaceta de Caracas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 xml:space="preserve">, traduction et indépendance au XIXe siècle.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Meta. Journal des traducteurs, 56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(1), 81-100.</w:t>
            </w:r>
            <w:bookmarkEnd w:id="55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56" w:name="_ENREF_180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Navarro, A. (2012). Traducción, prensa y proceso emancipador venezolano. El caso de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 xml:space="preserve"> La Gaceta de Caracas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(1808-1822). En F. Lafarga &amp; L. Pegenaute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Lengua, cultura y política en la historia de la traducción en Hispanoamérica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165-172). Vigo: Editorial Academia del Hispanismo.</w:t>
            </w:r>
            <w:bookmarkEnd w:id="56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57" w:name="_ENREF_187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Orozco, W. (2000). La traducción en el siglo XIX en Colombia.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Ikala: Revista de Lenguaje y Cultura, 5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(9-10), 73-88.</w:t>
            </w:r>
            <w:bookmarkEnd w:id="57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58" w:name="_ENREF_188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Orozco, W., Aguilar, M. C., Gómez, N., &amp; Ramírez, A. (2007). Traducción literaria en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Revista Universidad de Antioquia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 xml:space="preserve">Número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y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El Malpensante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(1996-2006).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Con-Textos, 19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(38), 187-198.</w:t>
            </w:r>
            <w:bookmarkEnd w:id="58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59" w:name="_ENREF_193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Pagni, A. (2004a). Introducción Dossier: América Latina, espacio de traducciones.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Estudios. Revista de Investigaciones Literarias y Culturales, 24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, 9-13.</w:t>
            </w:r>
            <w:bookmarkEnd w:id="59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60" w:name="_ENREF_194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Pagni, A. (2004b). Olimpo en América del Sur. Usos hispanoamericanos del romanticismo francés.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Estudios. Revista de Investigaciones Literarias y Culturales, 24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, 117-132.</w:t>
            </w:r>
            <w:bookmarkEnd w:id="60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61" w:name="_ENREF_195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Pagni, A. (2008). ¿Orientalismos americanos? Lugares de traducción de Gertrudis Gómez de Avellaneda y de Andrés Bello.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Trans. Revista de Traductologia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(12), 43-50.</w:t>
            </w:r>
            <w:bookmarkEnd w:id="61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62" w:name="_ENREF_196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Pagni, A. (2011). La importanción de literatura alemana en la Argentina hacia 1880: Alejandro Korn en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La Biblioteca Popular de Buenos Aires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. En A. Pagni, G. Payàs &amp; P. Willson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Traductores y traducciones en la historia cultural de América Latina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13-29). México: Universidad Nacional Autónoma de México.</w:t>
            </w:r>
            <w:bookmarkEnd w:id="62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bookmarkStart w:id="63" w:name="_ENREF_201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lastRenderedPageBreak/>
              <w:t xml:space="preserve">Payàs, G. (2004). Translation in historiography: The Garibay/León-Portilla complex and the making of a pre-hispanic past.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  <w:t>Meta. Journal des traducteurs, 49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(3), 544-561.</w:t>
            </w:r>
            <w:bookmarkEnd w:id="63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bookmarkStart w:id="64" w:name="_ENREF_202"/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Payàs, G. (2005). Nationalism Studies Applied to a Register of Mexican Colonial Translations. Interim Report.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fr-CA"/>
              </w:rPr>
              <w:t>TTR: traduction, terminologie, rédaction, 18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(1), 13-31</w:t>
            </w:r>
            <w:bookmarkEnd w:id="64"/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.</w:t>
            </w:r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bookmarkStart w:id="65" w:name="_ENREF_203"/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 xml:space="preserve">Payàs, G. (2006). Lorsque l'histoire de la traduction sert à reviser l'histoire.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fr-CA"/>
              </w:rPr>
              <w:t>TTR: traduction, terminologie, rédaction, 19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(2), 15-36.</w:t>
            </w:r>
            <w:bookmarkEnd w:id="65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66" w:name="_ENREF_204"/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 xml:space="preserve">Payàs, G. (2010a).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fr-CA"/>
              </w:rPr>
              <w:t xml:space="preserve">El revés del tapiz.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Traducción y discurso de identidad en la Nueva España (1521-1821)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. Madrid/Frankfurt/Temuco: Iberoamericana/Vervuert/Ediciones Universidad Católica de Temuco.</w:t>
            </w:r>
            <w:bookmarkEnd w:id="66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67" w:name="_ENREF_205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Payàs, G. (2010b). Tras la huella del intérprete en la historia colonial hispanoamericana. En G. Alfaqueque (Ed.),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Los límites de Babel. Ensayos sobre la comunicación entre lenguas y culturas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77-99). Madrid/Frankfurt: Iberoamericana/Vervuert.</w:t>
            </w:r>
            <w:bookmarkEnd w:id="67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68" w:name="_ENREF_208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Payàs, G., &amp; Zavala, J. M. (Eds.). (2012).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La mediación lingüístico-cultural en tiempos de guerra: cruce de miradas desde España y América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. Temuco: Ediciones Universidad Católica de Temuco.</w:t>
            </w:r>
            <w:bookmarkEnd w:id="68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69" w:name="_ENREF_209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Payàs, G., Zavala, J. M., Samaniego, M., &amp; Garbarini, C. G. (2009). Aproximación interdisciplinar a la mediación lingüística mapudungun-castellano ss. XVII-XIX: traductología, antropología histórica, filosofía.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</w:rPr>
              <w:t>Mutatis Mutandis, 2</w:t>
            </w:r>
            <w:r w:rsidRPr="00E26162">
              <w:rPr>
                <w:rFonts w:ascii="Arial" w:hAnsi="Arial" w:cs="Arial"/>
                <w:noProof/>
                <w:sz w:val="22"/>
                <w:szCs w:val="22"/>
              </w:rPr>
              <w:t>(1), 85 – 97.</w:t>
            </w:r>
            <w:bookmarkEnd w:id="69"/>
            <w:r w:rsidRPr="00E26162">
              <w:rPr>
                <w:rFonts w:ascii="Arial" w:hAnsi="Arial" w:cs="Arial"/>
                <w:noProof/>
                <w:sz w:val="22"/>
                <w:szCs w:val="22"/>
              </w:rPr>
              <w:t xml:space="preserve"> De http://aprendeenlinea.udea.edu.co/revistas/index.php/mutatismutandis</w:t>
            </w:r>
            <w:bookmarkStart w:id="70" w:name="_ENREF_218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Pulido, M. L. (2011). Registro de la bibliografía franciscana que se encuentra en las bibliotecas colombianas: aproximación histórica. En A. Bueno &amp; M. Á. Vega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Lingua, cultura e discorso nella traduzione dei francescani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507-520). Perugia: Università per Stranieri di Perugia.</w:t>
            </w:r>
            <w:bookmarkEnd w:id="70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71" w:name="_ENREF_219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Pulido, M. L. (2012a). Apuntes sobre la traslatio en los saberes curativos en América. En M. Á. Vega (Ed.),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Traductores hispanos de la orden franciscana en Hispanoamérica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63-72). Lima: Universidad Ricardo Palma.</w:t>
            </w:r>
            <w:bookmarkEnd w:id="71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72" w:name="_ENREF_220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Pulido, M. L. (2012b). De la antología Casa Silva de Traductores de poesía en Colombia (1999). En F. Lafarga &amp; L. Pegenaute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Aspectos de la historia de la traducción en Hispanoamérica: autores, traducciones y traductores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287-294). Vigo: Editorial Academia del Hispanismo.</w:t>
            </w:r>
            <w:bookmarkEnd w:id="72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73" w:name="_ENREF_221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Pulido, M. L. (2013). Presentación al dossier "El papel del traductor y del intérprete en la historia iberoamericana general y cultural".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Mutatis Mutandis. Revista latinoamericana de traducción, 6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(1), 1-3.</w:t>
            </w:r>
            <w:bookmarkEnd w:id="73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De http://aprendeenlinea.udea.edu.co/revistas/index.php/mutatismutandis</w:t>
            </w:r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bookmarkStart w:id="74" w:name="_ENREF_222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Pulido, M. L. (2014). Las Maravillas de la naturaleza de Fray Juan de Santa Gertrudis y su traducción al inglés.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  <w:t>In-Traduções, 6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, 183-202.</w:t>
            </w:r>
            <w:bookmarkEnd w:id="74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bookmarkStart w:id="75" w:name="_ENREF_223"/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Pym, A. (1998).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  <w:t>Method in translation history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. Manchester: St. Jerome.</w:t>
            </w:r>
            <w:bookmarkEnd w:id="75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76" w:name="_ENREF_236"/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Rodríguez, J. M. (2010).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  <w:t>The City of Translation. Poetry and Ideology in Nineteenth-Century Colombia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.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New York: Palgrave Macmillan.</w:t>
            </w:r>
            <w:bookmarkEnd w:id="76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77" w:name="_ENREF_249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Scharlau, B. (2004). Traducir en América Latina: Genealogía de un tópico de investigación.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Estudios. Revista de Investigaciones Literarias y Culturales, 24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, 15-33.</w:t>
            </w:r>
            <w:bookmarkStart w:id="78" w:name="_ENREF_277"/>
            <w:bookmarkEnd w:id="77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</w:t>
            </w:r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Valero, M. A. (2013). Andrés Bello y sus traducciones de Victor Hugo: un ejemplo ilustrativo del proceso de construcción de las nuevas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lastRenderedPageBreak/>
              <w:t xml:space="preserve">literaturas americanas en el proceso de Independencia.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fr-CA"/>
              </w:rPr>
              <w:t>Mutatis Mutandis, 6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(1), 43-59.</w:t>
            </w:r>
            <w:bookmarkEnd w:id="78"/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 xml:space="preserve"> De http://aprendeenlinea.udea.edu.co/revistas/index.php/mutatismutandis.</w:t>
            </w:r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79" w:name="_ENREF_278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Vallejo, M. M. (2006).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A plomo herido: una cronica del periodismo en Colombia 1880-1980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. Bogotá: Planeta.</w:t>
            </w:r>
            <w:bookmarkEnd w:id="79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80" w:name="_ENREF_279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Vallejo, O. (2010). Una propuesta de lectura del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Papel Periódico Ilustrado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(1881-1888). El tema de la imagen. En A. Laverde Ospina &amp; A. M. Agudelo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Observaciones históricas de la literatura colombiana. Elemenos para la discusión. Cuadernos de trabajo III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155-186). Medellín: La Carreta Literaria.</w:t>
            </w:r>
            <w:bookmarkEnd w:id="80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81" w:name="_ENREF_280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Vallejo, O. (2012). Victor Hugo en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El Papel Periódico Ilustrado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. Aporte al estudio histórico de la traducción en Colombia. En F. Lafarga &amp; L. Pegenaute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Aspectos de la historia de la traducción en Hispanoamérica: autores, traducciones y traductores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321-332). Vigo: Editorial Academia del Hispanismo.</w:t>
            </w:r>
            <w:bookmarkEnd w:id="81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bookmarkStart w:id="82" w:name="_ENREF_281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Vallejo, O. (2013). Heinrich Heine en la literatura colombiana La duda poética de Rafael Núñez.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fr-CA"/>
              </w:rPr>
              <w:t>Mutatis Mutandis, 6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(2), 369 - 384.</w:t>
            </w:r>
            <w:bookmarkEnd w:id="82"/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 xml:space="preserve"> De </w:t>
            </w:r>
            <w:hyperlink r:id="rId9" w:history="1">
              <w:r w:rsidRPr="00E26162">
                <w:rPr>
                  <w:rStyle w:val="Hipervnculo"/>
                  <w:rFonts w:ascii="Arial" w:hAnsi="Arial" w:cs="Arial"/>
                  <w:noProof/>
                  <w:sz w:val="22"/>
                  <w:szCs w:val="22"/>
                  <w:lang w:val="fr-CA"/>
                </w:rPr>
                <w:t>http://aprendeenlinea.udea.edu.co/revistas/index.php/mutatismutandis</w:t>
              </w:r>
            </w:hyperlink>
            <w:r w:rsidRPr="00E26162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.</w:t>
            </w:r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83" w:name="_ENREF_283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Vega, M. Á. (2012a). La traducción en la obra evangelizadora y civilizatoria tras la Conquista y durante la Colonia en la América Hispana. En F. Lafarga &amp; L. Pegenaute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Lengua, cultura y política en la historia de la traducción en Hispanoamérica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263-275). Vigo: Editorial Academia del Hispanismo.</w:t>
            </w:r>
            <w:bookmarkEnd w:id="83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pt-BR"/>
              </w:rPr>
            </w:pPr>
            <w:bookmarkStart w:id="84" w:name="_ENREF_284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Vega, M. Á. (2014). Editorial al número especial “El escrito(r) misionero como tema de investigación humanística”.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pt-BR"/>
              </w:rPr>
              <w:t>In-Traduções Revista do Programa de Pós-Graduação em Estudos da Tradução da UFSC, 6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, i-xiv.</w:t>
            </w:r>
            <w:bookmarkEnd w:id="84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85" w:name="_ENREF_285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Vega, M. Á. (Ed.). (2012b).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Traductores hispanos de la orden franciscana en Hispanoamérica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. Lima: Universidad Ricardo Palma.</w:t>
            </w:r>
            <w:bookmarkEnd w:id="85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86" w:name="_ENREF_286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Vega, M. Á., &amp; Pulido, M. L. (2013). La historia de la traducción y de la teoría de la traducción en el contexto de los estudios de la traducción.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 xml:space="preserve"> Revista MonTI, 5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, 9-38.</w:t>
            </w:r>
            <w:bookmarkEnd w:id="86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87" w:name="_ENREF_287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Viereck, R. (2003).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 xml:space="preserve">La traducción como instrumento y estética en la literatura hispanoamericana del siglo XVI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(Universidad Complutense de Madrid, Madrid). De http://www.histal.ca/wp-content/uploads/2011/08/La-traducci%C3%B3n-como-instrumento-y-est%C3%A9ca-de-la-literatura-hispanoamericana.pdf </w:t>
            </w:r>
            <w:bookmarkEnd w:id="87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88" w:name="_ENREF_288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Viereck, R. (2013). Virreinato (traducción de lenguas indígenas). En F. Lafarga &amp; L. Pegenaute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Diccionario histórico de la traducción en HIspanoamérica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475-487). Madrid/Frankfurt: Iberoamericana/Vervuert.</w:t>
            </w:r>
            <w:bookmarkEnd w:id="88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89" w:name="_ENREF_293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Willson, P. (2004).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La Constelación del Sur. Traductores y traducciones en la literatura argentina del siglo XX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. Buenos Aires: Siglo XXI.</w:t>
            </w:r>
            <w:bookmarkEnd w:id="89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90" w:name="_ENREF_294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Willson, P. (2008). El fin de una época: Letrados-traductores en la primera colección de literatura traducida del siglo XX en la Argentina.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Trans. Revista de Traductologia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(12), 29-42</w:t>
            </w:r>
            <w:bookmarkEnd w:id="90"/>
          </w:p>
          <w:p w:rsidR="00E26162" w:rsidRPr="00E26162" w:rsidRDefault="00E26162" w:rsidP="00E26162">
            <w:pPr>
              <w:spacing w:line="276" w:lineRule="auto"/>
              <w:ind w:left="720" w:hanging="720"/>
              <w:rPr>
                <w:rFonts w:ascii="Arial" w:hAnsi="Arial" w:cs="Arial"/>
                <w:noProof/>
                <w:sz w:val="22"/>
                <w:szCs w:val="22"/>
                <w:lang w:val="es-MX"/>
              </w:rPr>
            </w:pPr>
            <w:bookmarkStart w:id="91" w:name="_ENREF_295"/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Willson, P. (2011). Paraísos perdidos: La traducción en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 xml:space="preserve">Caras y Caretas 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(1898-1908). En A. Pagni, G. Payàs &amp; P. Willson (Eds.), </w:t>
            </w:r>
            <w:r w:rsidRPr="00E26162">
              <w:rPr>
                <w:rFonts w:ascii="Arial" w:hAnsi="Arial" w:cs="Arial"/>
                <w:i/>
                <w:noProof/>
                <w:sz w:val="22"/>
                <w:szCs w:val="22"/>
                <w:lang w:val="es-MX"/>
              </w:rPr>
              <w:t>Traductores y traducciones en la historia cultural de América Latina</w:t>
            </w:r>
            <w:r w:rsidRPr="00E26162">
              <w:rPr>
                <w:rFonts w:ascii="Arial" w:hAnsi="Arial" w:cs="Arial"/>
                <w:noProof/>
                <w:sz w:val="22"/>
                <w:szCs w:val="22"/>
                <w:lang w:val="es-MX"/>
              </w:rPr>
              <w:t xml:space="preserve"> (pp. 31-44). México: Universidad Nacional Autónoma de México.</w:t>
            </w:r>
            <w:bookmarkEnd w:id="91"/>
          </w:p>
          <w:p w:rsidR="00FB1AC2" w:rsidRPr="00E26162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1AC2" w:rsidRPr="00E26162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83254B" w:rsidRPr="00B22C40" w:rsidTr="00BC12BA">
        <w:tc>
          <w:tcPr>
            <w:tcW w:w="14034" w:type="dxa"/>
            <w:shd w:val="clear" w:color="auto" w:fill="8DB3E2" w:themeFill="text2" w:themeFillTint="66"/>
            <w:vAlign w:val="center"/>
          </w:tcPr>
          <w:p w:rsidR="0083254B" w:rsidRPr="00B22C40" w:rsidRDefault="0083254B" w:rsidP="007F4BE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</w:tc>
      </w:tr>
      <w:tr w:rsidR="0083254B" w:rsidRPr="00B22C40" w:rsidTr="00BC12BA">
        <w:tc>
          <w:tcPr>
            <w:tcW w:w="14034" w:type="dxa"/>
          </w:tcPr>
          <w:p w:rsidR="0083254B" w:rsidRPr="00B22C40" w:rsidRDefault="0083254B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254B" w:rsidRPr="00B22C40" w:rsidRDefault="0083254B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254B" w:rsidRPr="00B22C40" w:rsidRDefault="0083254B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p w:rsidR="00AE1CFC" w:rsidRPr="00B22C40" w:rsidRDefault="00AE1CFC" w:rsidP="007F4BEC">
      <w:pPr>
        <w:rPr>
          <w:rFonts w:ascii="Arial" w:hAnsi="Arial" w:cs="Arial"/>
          <w:b/>
          <w:sz w:val="22"/>
          <w:szCs w:val="22"/>
          <w:lang w:val="es-CO"/>
        </w:rPr>
      </w:pPr>
    </w:p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p w:rsidR="00D37817" w:rsidRPr="00B22C40" w:rsidRDefault="00D37817" w:rsidP="007F4BEC">
      <w:pPr>
        <w:rPr>
          <w:rFonts w:ascii="Arial" w:hAnsi="Arial" w:cs="Arial"/>
          <w:b/>
          <w:sz w:val="22"/>
          <w:szCs w:val="22"/>
        </w:rPr>
      </w:pPr>
    </w:p>
    <w:p w:rsidR="00D37817" w:rsidRPr="00B22C40" w:rsidRDefault="00D37817" w:rsidP="007F4BEC">
      <w:pPr>
        <w:rPr>
          <w:rFonts w:ascii="Arial" w:hAnsi="Arial" w:cs="Arial"/>
          <w:b/>
          <w:sz w:val="22"/>
          <w:szCs w:val="22"/>
        </w:rPr>
      </w:pPr>
    </w:p>
    <w:p w:rsidR="00D37817" w:rsidRPr="00B22C40" w:rsidRDefault="00D37817" w:rsidP="007F4BEC">
      <w:pPr>
        <w:rPr>
          <w:rFonts w:ascii="Arial" w:hAnsi="Arial" w:cs="Arial"/>
          <w:b/>
          <w:sz w:val="22"/>
          <w:szCs w:val="22"/>
        </w:rPr>
      </w:pPr>
    </w:p>
    <w:p w:rsidR="00D37817" w:rsidRPr="00B22C40" w:rsidRDefault="00D37817" w:rsidP="007F4BEC">
      <w:pPr>
        <w:rPr>
          <w:rFonts w:ascii="Arial" w:hAnsi="Arial" w:cs="Arial"/>
          <w:b/>
          <w:sz w:val="22"/>
          <w:szCs w:val="22"/>
        </w:rPr>
      </w:pPr>
    </w:p>
    <w:p w:rsidR="00D37817" w:rsidRPr="00B22C40" w:rsidRDefault="00D37817" w:rsidP="007F4BEC">
      <w:pPr>
        <w:rPr>
          <w:rFonts w:ascii="Arial" w:hAnsi="Arial" w:cs="Arial"/>
          <w:b/>
          <w:sz w:val="22"/>
          <w:szCs w:val="22"/>
        </w:rPr>
      </w:pPr>
    </w:p>
    <w:p w:rsidR="00D37817" w:rsidRPr="00B22C40" w:rsidRDefault="00D37817" w:rsidP="007F4BEC">
      <w:pPr>
        <w:rPr>
          <w:rFonts w:ascii="Arial" w:hAnsi="Arial" w:cs="Arial"/>
          <w:b/>
          <w:sz w:val="22"/>
          <w:szCs w:val="22"/>
        </w:rPr>
      </w:pPr>
    </w:p>
    <w:p w:rsidR="00D37817" w:rsidRPr="00B22C40" w:rsidRDefault="00D37817" w:rsidP="007F4BEC">
      <w:pPr>
        <w:rPr>
          <w:rFonts w:ascii="Arial" w:hAnsi="Arial" w:cs="Arial"/>
          <w:b/>
          <w:sz w:val="22"/>
          <w:szCs w:val="22"/>
        </w:rPr>
      </w:pPr>
    </w:p>
    <w:p w:rsidR="007B6BE6" w:rsidRPr="00B22C40" w:rsidRDefault="007B6BE6" w:rsidP="007F4BEC">
      <w:pPr>
        <w:rPr>
          <w:rFonts w:ascii="Arial" w:hAnsi="Arial" w:cs="Arial"/>
          <w:b/>
          <w:sz w:val="22"/>
          <w:szCs w:val="22"/>
        </w:rPr>
      </w:pPr>
    </w:p>
    <w:sectPr w:rsidR="007B6BE6" w:rsidRPr="00B22C40" w:rsidSect="006E6DD1">
      <w:headerReference w:type="default" r:id="rId10"/>
      <w:footerReference w:type="default" r:id="rId11"/>
      <w:pgSz w:w="15842" w:h="12242" w:orient="landscape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D7" w:rsidRDefault="009B2AD7" w:rsidP="00B016C6">
      <w:r>
        <w:separator/>
      </w:r>
    </w:p>
  </w:endnote>
  <w:endnote w:type="continuationSeparator" w:id="0">
    <w:p w:rsidR="009B2AD7" w:rsidRDefault="009B2AD7" w:rsidP="00B0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214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  <w:gridCol w:w="3428"/>
    </w:tblGrid>
    <w:tr w:rsidR="005861FE" w:rsidTr="007B6BE6">
      <w:trPr>
        <w:cantSplit/>
        <w:trHeight w:val="286"/>
      </w:trPr>
      <w:tc>
        <w:tcPr>
          <w:tcW w:w="10606" w:type="dxa"/>
          <w:vMerge w:val="restart"/>
        </w:tcPr>
        <w:p w:rsidR="005861FE" w:rsidRDefault="005861FE" w:rsidP="005C6DAE">
          <w:pPr>
            <w:pStyle w:val="Piedepgina"/>
            <w:tabs>
              <w:tab w:val="left" w:pos="214"/>
            </w:tabs>
            <w:rPr>
              <w:rFonts w:ascii="Arial" w:hAnsi="Arial"/>
              <w:snapToGrid w:val="0"/>
              <w:sz w:val="18"/>
            </w:rPr>
          </w:pPr>
        </w:p>
      </w:tc>
      <w:tc>
        <w:tcPr>
          <w:tcW w:w="3428" w:type="dxa"/>
          <w:vAlign w:val="center"/>
        </w:tcPr>
        <w:p w:rsidR="005861FE" w:rsidRDefault="005861FE" w:rsidP="00B07498">
          <w:pPr>
            <w:pStyle w:val="Piedepgina"/>
            <w:jc w:val="right"/>
            <w:rPr>
              <w:rFonts w:ascii="Arial" w:hAnsi="Arial"/>
              <w:snapToGrid w:val="0"/>
              <w:sz w:val="18"/>
            </w:rPr>
          </w:pPr>
          <w:r>
            <w:rPr>
              <w:rFonts w:ascii="Arial" w:hAnsi="Arial"/>
              <w:snapToGrid w:val="0"/>
              <w:sz w:val="18"/>
            </w:rPr>
            <w:t xml:space="preserve">Página </w:t>
          </w:r>
          <w:r w:rsidR="00095B88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PAGE </w:instrText>
          </w:r>
          <w:r w:rsidR="00095B88">
            <w:rPr>
              <w:rFonts w:ascii="Arial" w:hAnsi="Arial"/>
              <w:snapToGrid w:val="0"/>
              <w:sz w:val="18"/>
            </w:rPr>
            <w:fldChar w:fldCharType="separate"/>
          </w:r>
          <w:r w:rsidR="00E41AA9">
            <w:rPr>
              <w:rFonts w:ascii="Arial" w:hAnsi="Arial"/>
              <w:noProof/>
              <w:snapToGrid w:val="0"/>
              <w:sz w:val="18"/>
            </w:rPr>
            <w:t>10</w:t>
          </w:r>
          <w:r w:rsidR="00095B88">
            <w:rPr>
              <w:rFonts w:ascii="Arial" w:hAnsi="Arial"/>
              <w:snapToGrid w:val="0"/>
              <w:sz w:val="18"/>
            </w:rPr>
            <w:fldChar w:fldCharType="end"/>
          </w:r>
          <w:r>
            <w:rPr>
              <w:rFonts w:ascii="Arial" w:hAnsi="Arial"/>
              <w:snapToGrid w:val="0"/>
              <w:sz w:val="18"/>
            </w:rPr>
            <w:t xml:space="preserve"> de </w:t>
          </w:r>
          <w:r w:rsidR="00095B88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NUMPAGES </w:instrText>
          </w:r>
          <w:r w:rsidR="00095B88">
            <w:rPr>
              <w:rFonts w:ascii="Arial" w:hAnsi="Arial"/>
              <w:snapToGrid w:val="0"/>
              <w:sz w:val="18"/>
            </w:rPr>
            <w:fldChar w:fldCharType="separate"/>
          </w:r>
          <w:r w:rsidR="00E41AA9">
            <w:rPr>
              <w:rFonts w:ascii="Arial" w:hAnsi="Arial"/>
              <w:noProof/>
              <w:snapToGrid w:val="0"/>
              <w:sz w:val="18"/>
            </w:rPr>
            <w:t>10</w:t>
          </w:r>
          <w:r w:rsidR="00095B88">
            <w:rPr>
              <w:rFonts w:ascii="Arial" w:hAnsi="Arial"/>
              <w:snapToGrid w:val="0"/>
              <w:sz w:val="18"/>
            </w:rPr>
            <w:fldChar w:fldCharType="end"/>
          </w:r>
        </w:p>
      </w:tc>
    </w:tr>
    <w:tr w:rsidR="005861FE" w:rsidRPr="007F217F" w:rsidTr="007B6BE6">
      <w:trPr>
        <w:cantSplit/>
        <w:trHeight w:val="285"/>
      </w:trPr>
      <w:tc>
        <w:tcPr>
          <w:tcW w:w="10606" w:type="dxa"/>
          <w:vMerge/>
        </w:tcPr>
        <w:p w:rsidR="005861FE" w:rsidRPr="007F217F" w:rsidRDefault="005861FE" w:rsidP="00B07498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</w:p>
      </w:tc>
      <w:tc>
        <w:tcPr>
          <w:tcW w:w="3428" w:type="dxa"/>
          <w:vAlign w:val="center"/>
        </w:tcPr>
        <w:p w:rsidR="005861FE" w:rsidRPr="007F217F" w:rsidRDefault="005861FE" w:rsidP="007F217F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  <w:r w:rsidRPr="007F217F">
            <w:rPr>
              <w:rFonts w:ascii="Arial" w:hAnsi="Arial"/>
              <w:color w:val="808080"/>
              <w:sz w:val="18"/>
            </w:rPr>
            <w:t>Copia controlada</w:t>
          </w:r>
        </w:p>
      </w:tc>
    </w:tr>
  </w:tbl>
  <w:p w:rsidR="005861FE" w:rsidRPr="007F217F" w:rsidRDefault="005861FE" w:rsidP="008305D7">
    <w:pPr>
      <w:pStyle w:val="Piedepgina"/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D7" w:rsidRDefault="009B2AD7" w:rsidP="00B016C6">
      <w:r>
        <w:separator/>
      </w:r>
    </w:p>
  </w:footnote>
  <w:footnote w:type="continuationSeparator" w:id="0">
    <w:p w:rsidR="009B2AD7" w:rsidRDefault="009B2AD7" w:rsidP="00B01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8788"/>
      <w:gridCol w:w="3402"/>
    </w:tblGrid>
    <w:tr w:rsidR="00B03C22" w:rsidRPr="004427C9" w:rsidTr="005C6DAE">
      <w:trPr>
        <w:trHeight w:val="355"/>
      </w:trPr>
      <w:tc>
        <w:tcPr>
          <w:tcW w:w="1844" w:type="dxa"/>
          <w:vMerge w:val="restart"/>
          <w:vAlign w:val="center"/>
        </w:tcPr>
        <w:p w:rsidR="00B03C22" w:rsidRDefault="00313367" w:rsidP="00630F6B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485775" cy="638175"/>
                <wp:effectExtent l="19050" t="0" r="9525" b="0"/>
                <wp:docPr id="4" name="0 Imagen" descr="Gráfico1--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Gráfico1--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vMerge w:val="restart"/>
          <w:vAlign w:val="center"/>
        </w:tcPr>
        <w:p w:rsidR="00B03C22" w:rsidRDefault="00B03C22" w:rsidP="00630F6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0F6B">
            <w:rPr>
              <w:rFonts w:ascii="Arial" w:hAnsi="Arial" w:cs="Arial"/>
              <w:b/>
              <w:sz w:val="20"/>
              <w:szCs w:val="20"/>
            </w:rPr>
            <w:t>ESCUELA DE IDIOMAS</w:t>
          </w:r>
        </w:p>
        <w:p w:rsidR="001A4976" w:rsidRDefault="001A4976" w:rsidP="001A497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SISTEMA DE GESTIÓN DE LA CALIDAD</w:t>
          </w:r>
        </w:p>
        <w:p w:rsidR="006C71EF" w:rsidRDefault="006C71EF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DEPARTAMENTO DE FORMACIÓN ACADÉMICA</w:t>
          </w:r>
        </w:p>
        <w:p w:rsidR="003450E2" w:rsidRPr="006C71EF" w:rsidRDefault="00B773D0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CONTENIDO DE CURSO DE POSGRADO</w:t>
          </w:r>
        </w:p>
      </w:tc>
      <w:tc>
        <w:tcPr>
          <w:tcW w:w="3402" w:type="dxa"/>
          <w:vAlign w:val="center"/>
        </w:tcPr>
        <w:p w:rsidR="00B03C22" w:rsidRPr="00630F6B" w:rsidRDefault="000031B3" w:rsidP="001A4976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F-EI-0</w:t>
          </w:r>
          <w:r w:rsidR="001A4976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-0</w:t>
          </w:r>
          <w:r w:rsidR="001A4976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B03C22" w:rsidP="001A7EB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30F6B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0031B3" w:rsidP="00B773D0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Fecha: </w:t>
          </w:r>
          <w:r w:rsidR="00B773D0">
            <w:rPr>
              <w:rFonts w:ascii="Arial" w:hAnsi="Arial" w:cs="Arial"/>
              <w:sz w:val="20"/>
              <w:szCs w:val="20"/>
            </w:rPr>
            <w:t xml:space="preserve">Abril 29 </w:t>
          </w:r>
          <w:r w:rsidR="000A74AB">
            <w:rPr>
              <w:rFonts w:ascii="Arial" w:hAnsi="Arial" w:cs="Arial"/>
              <w:sz w:val="20"/>
              <w:szCs w:val="20"/>
            </w:rPr>
            <w:t>201</w:t>
          </w:r>
          <w:r w:rsidR="00B773D0">
            <w:rPr>
              <w:rFonts w:ascii="Arial" w:hAnsi="Arial" w:cs="Arial"/>
              <w:sz w:val="20"/>
              <w:szCs w:val="20"/>
            </w:rPr>
            <w:t>3</w:t>
          </w:r>
        </w:p>
      </w:tc>
    </w:tr>
  </w:tbl>
  <w:p w:rsidR="005861FE" w:rsidRPr="008305D7" w:rsidRDefault="005861FE" w:rsidP="008305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6AF1"/>
    <w:multiLevelType w:val="multilevel"/>
    <w:tmpl w:val="1DB882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64C3D"/>
    <w:multiLevelType w:val="hybridMultilevel"/>
    <w:tmpl w:val="A988519E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90588"/>
    <w:multiLevelType w:val="hybridMultilevel"/>
    <w:tmpl w:val="9A762A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6098B"/>
    <w:multiLevelType w:val="multilevel"/>
    <w:tmpl w:val="7D2C654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6939F9"/>
    <w:multiLevelType w:val="hybridMultilevel"/>
    <w:tmpl w:val="6CF8FC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834EA"/>
    <w:multiLevelType w:val="hybridMultilevel"/>
    <w:tmpl w:val="6730FE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8C7FB8"/>
    <w:multiLevelType w:val="hybridMultilevel"/>
    <w:tmpl w:val="F648A83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7A5BF8"/>
    <w:multiLevelType w:val="hybridMultilevel"/>
    <w:tmpl w:val="086446AE"/>
    <w:lvl w:ilvl="0" w:tplc="240A0003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8">
    <w:nsid w:val="1DC84AC2"/>
    <w:multiLevelType w:val="hybridMultilevel"/>
    <w:tmpl w:val="7818A81A"/>
    <w:lvl w:ilvl="0" w:tplc="09E272C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2E4DA8"/>
    <w:multiLevelType w:val="hybridMultilevel"/>
    <w:tmpl w:val="717E75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E4F9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635452"/>
    <w:multiLevelType w:val="hybridMultilevel"/>
    <w:tmpl w:val="9E3CCB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F70395"/>
    <w:multiLevelType w:val="multilevel"/>
    <w:tmpl w:val="18B092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F33BC7"/>
    <w:multiLevelType w:val="hybridMultilevel"/>
    <w:tmpl w:val="0B3678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7869E0"/>
    <w:multiLevelType w:val="multilevel"/>
    <w:tmpl w:val="1CD21DC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C446F3C"/>
    <w:multiLevelType w:val="hybridMultilevel"/>
    <w:tmpl w:val="4F10A09C"/>
    <w:lvl w:ilvl="0" w:tplc="C598E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D52D6"/>
    <w:multiLevelType w:val="hybridMultilevel"/>
    <w:tmpl w:val="3ED26908"/>
    <w:lvl w:ilvl="0" w:tplc="240A0003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16">
    <w:nsid w:val="322C6D0C"/>
    <w:multiLevelType w:val="hybridMultilevel"/>
    <w:tmpl w:val="72D27D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802116"/>
    <w:multiLevelType w:val="hybridMultilevel"/>
    <w:tmpl w:val="1DB88296"/>
    <w:lvl w:ilvl="0" w:tplc="77A45C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7141E2"/>
    <w:multiLevelType w:val="hybridMultilevel"/>
    <w:tmpl w:val="641CE440"/>
    <w:lvl w:ilvl="0" w:tplc="FE362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FF68236">
      <w:numFmt w:val="none"/>
      <w:lvlText w:val=""/>
      <w:lvlJc w:val="left"/>
      <w:pPr>
        <w:tabs>
          <w:tab w:val="num" w:pos="360"/>
        </w:tabs>
      </w:pPr>
    </w:lvl>
    <w:lvl w:ilvl="2" w:tplc="E44847CA">
      <w:numFmt w:val="none"/>
      <w:lvlText w:val=""/>
      <w:lvlJc w:val="left"/>
      <w:pPr>
        <w:tabs>
          <w:tab w:val="num" w:pos="360"/>
        </w:tabs>
      </w:pPr>
    </w:lvl>
    <w:lvl w:ilvl="3" w:tplc="70667450">
      <w:numFmt w:val="none"/>
      <w:lvlText w:val=""/>
      <w:lvlJc w:val="left"/>
      <w:pPr>
        <w:tabs>
          <w:tab w:val="num" w:pos="360"/>
        </w:tabs>
      </w:pPr>
    </w:lvl>
    <w:lvl w:ilvl="4" w:tplc="97C60B94">
      <w:numFmt w:val="none"/>
      <w:lvlText w:val=""/>
      <w:lvlJc w:val="left"/>
      <w:pPr>
        <w:tabs>
          <w:tab w:val="num" w:pos="360"/>
        </w:tabs>
      </w:pPr>
    </w:lvl>
    <w:lvl w:ilvl="5" w:tplc="7ED656DA">
      <w:numFmt w:val="none"/>
      <w:lvlText w:val=""/>
      <w:lvlJc w:val="left"/>
      <w:pPr>
        <w:tabs>
          <w:tab w:val="num" w:pos="360"/>
        </w:tabs>
      </w:pPr>
    </w:lvl>
    <w:lvl w:ilvl="6" w:tplc="7812D24E">
      <w:numFmt w:val="none"/>
      <w:lvlText w:val=""/>
      <w:lvlJc w:val="left"/>
      <w:pPr>
        <w:tabs>
          <w:tab w:val="num" w:pos="360"/>
        </w:tabs>
      </w:pPr>
    </w:lvl>
    <w:lvl w:ilvl="7" w:tplc="9378F34A">
      <w:numFmt w:val="none"/>
      <w:lvlText w:val=""/>
      <w:lvlJc w:val="left"/>
      <w:pPr>
        <w:tabs>
          <w:tab w:val="num" w:pos="360"/>
        </w:tabs>
      </w:pPr>
    </w:lvl>
    <w:lvl w:ilvl="8" w:tplc="0F5C9E4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70B5976"/>
    <w:multiLevelType w:val="hybridMultilevel"/>
    <w:tmpl w:val="7F127B02"/>
    <w:lvl w:ilvl="0" w:tplc="285A85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334176"/>
    <w:multiLevelType w:val="hybridMultilevel"/>
    <w:tmpl w:val="184A56C6"/>
    <w:lvl w:ilvl="0" w:tplc="87D8F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E72905"/>
    <w:multiLevelType w:val="hybridMultilevel"/>
    <w:tmpl w:val="B88C72F2"/>
    <w:lvl w:ilvl="0" w:tplc="044E605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0E6582"/>
    <w:multiLevelType w:val="hybridMultilevel"/>
    <w:tmpl w:val="62225112"/>
    <w:lvl w:ilvl="0" w:tplc="4E9AE4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1D1155"/>
    <w:multiLevelType w:val="multilevel"/>
    <w:tmpl w:val="60A65C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E33756C"/>
    <w:multiLevelType w:val="multilevel"/>
    <w:tmpl w:val="1C3EE5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288180B"/>
    <w:multiLevelType w:val="hybridMultilevel"/>
    <w:tmpl w:val="18B09212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4379C9"/>
    <w:multiLevelType w:val="hybridMultilevel"/>
    <w:tmpl w:val="E38E61E2"/>
    <w:lvl w:ilvl="0" w:tplc="1DF8F9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3F4780"/>
    <w:multiLevelType w:val="hybridMultilevel"/>
    <w:tmpl w:val="8B085862"/>
    <w:lvl w:ilvl="0" w:tplc="240A0003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28">
    <w:nsid w:val="459825F0"/>
    <w:multiLevelType w:val="hybridMultilevel"/>
    <w:tmpl w:val="62225112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2E7E09"/>
    <w:multiLevelType w:val="hybridMultilevel"/>
    <w:tmpl w:val="C2AE28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3672F3"/>
    <w:multiLevelType w:val="hybridMultilevel"/>
    <w:tmpl w:val="C3C4E5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25C4C"/>
    <w:multiLevelType w:val="hybridMultilevel"/>
    <w:tmpl w:val="29E0C696"/>
    <w:lvl w:ilvl="0" w:tplc="240A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32">
    <w:nsid w:val="53076A0F"/>
    <w:multiLevelType w:val="hybridMultilevel"/>
    <w:tmpl w:val="2654D866"/>
    <w:lvl w:ilvl="0" w:tplc="240A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33">
    <w:nsid w:val="561B124E"/>
    <w:multiLevelType w:val="hybridMultilevel"/>
    <w:tmpl w:val="DC2C2E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B6418F"/>
    <w:multiLevelType w:val="hybridMultilevel"/>
    <w:tmpl w:val="7916B4B6"/>
    <w:lvl w:ilvl="0" w:tplc="87D8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D3317B"/>
    <w:multiLevelType w:val="hybridMultilevel"/>
    <w:tmpl w:val="77BABA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EA36E2E"/>
    <w:multiLevelType w:val="hybridMultilevel"/>
    <w:tmpl w:val="6B447C28"/>
    <w:lvl w:ilvl="0" w:tplc="B13CEE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647BE"/>
    <w:multiLevelType w:val="hybridMultilevel"/>
    <w:tmpl w:val="B554E0B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72E9B60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B63CE7"/>
    <w:multiLevelType w:val="multilevel"/>
    <w:tmpl w:val="86642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9">
    <w:nsid w:val="76F56BD9"/>
    <w:multiLevelType w:val="hybridMultilevel"/>
    <w:tmpl w:val="480C8AE6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946B2F6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9F7F54"/>
    <w:multiLevelType w:val="hybridMultilevel"/>
    <w:tmpl w:val="69401966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8"/>
  </w:num>
  <w:num w:numId="4">
    <w:abstractNumId w:val="28"/>
  </w:num>
  <w:num w:numId="5">
    <w:abstractNumId w:val="39"/>
  </w:num>
  <w:num w:numId="6">
    <w:abstractNumId w:val="40"/>
  </w:num>
  <w:num w:numId="7">
    <w:abstractNumId w:val="1"/>
  </w:num>
  <w:num w:numId="8">
    <w:abstractNumId w:val="25"/>
  </w:num>
  <w:num w:numId="9">
    <w:abstractNumId w:val="11"/>
  </w:num>
  <w:num w:numId="10">
    <w:abstractNumId w:val="18"/>
  </w:num>
  <w:num w:numId="11">
    <w:abstractNumId w:val="35"/>
  </w:num>
  <w:num w:numId="12">
    <w:abstractNumId w:val="9"/>
  </w:num>
  <w:num w:numId="13">
    <w:abstractNumId w:val="10"/>
  </w:num>
  <w:num w:numId="14">
    <w:abstractNumId w:val="17"/>
  </w:num>
  <w:num w:numId="15">
    <w:abstractNumId w:val="5"/>
  </w:num>
  <w:num w:numId="16">
    <w:abstractNumId w:val="0"/>
  </w:num>
  <w:num w:numId="17">
    <w:abstractNumId w:val="6"/>
  </w:num>
  <w:num w:numId="18">
    <w:abstractNumId w:val="3"/>
  </w:num>
  <w:num w:numId="19">
    <w:abstractNumId w:val="38"/>
  </w:num>
  <w:num w:numId="20">
    <w:abstractNumId w:val="23"/>
  </w:num>
  <w:num w:numId="21">
    <w:abstractNumId w:val="24"/>
  </w:num>
  <w:num w:numId="22">
    <w:abstractNumId w:val="12"/>
  </w:num>
  <w:num w:numId="23">
    <w:abstractNumId w:val="16"/>
  </w:num>
  <w:num w:numId="24">
    <w:abstractNumId w:val="33"/>
  </w:num>
  <w:num w:numId="25">
    <w:abstractNumId w:val="34"/>
  </w:num>
  <w:num w:numId="26">
    <w:abstractNumId w:val="29"/>
  </w:num>
  <w:num w:numId="27">
    <w:abstractNumId w:val="20"/>
  </w:num>
  <w:num w:numId="28">
    <w:abstractNumId w:val="13"/>
  </w:num>
  <w:num w:numId="29">
    <w:abstractNumId w:val="26"/>
  </w:num>
  <w:num w:numId="30">
    <w:abstractNumId w:val="19"/>
  </w:num>
  <w:num w:numId="31">
    <w:abstractNumId w:val="14"/>
  </w:num>
  <w:num w:numId="32">
    <w:abstractNumId w:val="4"/>
  </w:num>
  <w:num w:numId="33">
    <w:abstractNumId w:val="37"/>
  </w:num>
  <w:num w:numId="34">
    <w:abstractNumId w:val="32"/>
  </w:num>
  <w:num w:numId="35">
    <w:abstractNumId w:val="15"/>
  </w:num>
  <w:num w:numId="36">
    <w:abstractNumId w:val="7"/>
  </w:num>
  <w:num w:numId="37">
    <w:abstractNumId w:val="31"/>
  </w:num>
  <w:num w:numId="38">
    <w:abstractNumId w:val="27"/>
  </w:num>
  <w:num w:numId="39">
    <w:abstractNumId w:val="30"/>
  </w:num>
  <w:num w:numId="40">
    <w:abstractNumId w:val="3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C6"/>
    <w:rsid w:val="000031B3"/>
    <w:rsid w:val="00010216"/>
    <w:rsid w:val="0001140F"/>
    <w:rsid w:val="000138E6"/>
    <w:rsid w:val="000162A3"/>
    <w:rsid w:val="00020FE2"/>
    <w:rsid w:val="00022A1C"/>
    <w:rsid w:val="00026B4B"/>
    <w:rsid w:val="00027CBC"/>
    <w:rsid w:val="000348EC"/>
    <w:rsid w:val="00040CEC"/>
    <w:rsid w:val="000426D4"/>
    <w:rsid w:val="000433F3"/>
    <w:rsid w:val="0004411D"/>
    <w:rsid w:val="000545D2"/>
    <w:rsid w:val="00065194"/>
    <w:rsid w:val="000672F9"/>
    <w:rsid w:val="0007640D"/>
    <w:rsid w:val="00083E16"/>
    <w:rsid w:val="0009011C"/>
    <w:rsid w:val="00091036"/>
    <w:rsid w:val="00091811"/>
    <w:rsid w:val="000933E9"/>
    <w:rsid w:val="00095B88"/>
    <w:rsid w:val="000A74AB"/>
    <w:rsid w:val="000B3E89"/>
    <w:rsid w:val="000B71A0"/>
    <w:rsid w:val="000C1834"/>
    <w:rsid w:val="000C1EFA"/>
    <w:rsid w:val="000C317F"/>
    <w:rsid w:val="000C39FD"/>
    <w:rsid w:val="000C58F8"/>
    <w:rsid w:val="000C7730"/>
    <w:rsid w:val="000D068A"/>
    <w:rsid w:val="000D3373"/>
    <w:rsid w:val="000D4598"/>
    <w:rsid w:val="000E08F5"/>
    <w:rsid w:val="000E422B"/>
    <w:rsid w:val="000E473E"/>
    <w:rsid w:val="000F118F"/>
    <w:rsid w:val="000F27A1"/>
    <w:rsid w:val="000F32A8"/>
    <w:rsid w:val="000F32B3"/>
    <w:rsid w:val="001022FD"/>
    <w:rsid w:val="00110C28"/>
    <w:rsid w:val="00111065"/>
    <w:rsid w:val="00113E23"/>
    <w:rsid w:val="0012743F"/>
    <w:rsid w:val="001347FB"/>
    <w:rsid w:val="001356A5"/>
    <w:rsid w:val="00143959"/>
    <w:rsid w:val="00150D37"/>
    <w:rsid w:val="00156A5A"/>
    <w:rsid w:val="001610E4"/>
    <w:rsid w:val="0016131F"/>
    <w:rsid w:val="001817AE"/>
    <w:rsid w:val="00183231"/>
    <w:rsid w:val="00190203"/>
    <w:rsid w:val="00191FAC"/>
    <w:rsid w:val="001920F3"/>
    <w:rsid w:val="0019259D"/>
    <w:rsid w:val="001A3F44"/>
    <w:rsid w:val="001A4976"/>
    <w:rsid w:val="001A7BF3"/>
    <w:rsid w:val="001A7EB9"/>
    <w:rsid w:val="001B6BD3"/>
    <w:rsid w:val="001C22DC"/>
    <w:rsid w:val="001C7D1E"/>
    <w:rsid w:val="001D0B7F"/>
    <w:rsid w:val="001D1CDB"/>
    <w:rsid w:val="001D31AB"/>
    <w:rsid w:val="001D3602"/>
    <w:rsid w:val="001D6254"/>
    <w:rsid w:val="001E1F05"/>
    <w:rsid w:val="001E6973"/>
    <w:rsid w:val="001F23F8"/>
    <w:rsid w:val="001F37C5"/>
    <w:rsid w:val="001F4F09"/>
    <w:rsid w:val="001F52F5"/>
    <w:rsid w:val="0020738D"/>
    <w:rsid w:val="00213143"/>
    <w:rsid w:val="002133AE"/>
    <w:rsid w:val="002139C8"/>
    <w:rsid w:val="00217D4E"/>
    <w:rsid w:val="00234357"/>
    <w:rsid w:val="00236DDE"/>
    <w:rsid w:val="00242219"/>
    <w:rsid w:val="002429DE"/>
    <w:rsid w:val="00243F96"/>
    <w:rsid w:val="00254410"/>
    <w:rsid w:val="00254E61"/>
    <w:rsid w:val="00257245"/>
    <w:rsid w:val="00257A30"/>
    <w:rsid w:val="00261BB6"/>
    <w:rsid w:val="00261CBD"/>
    <w:rsid w:val="00271764"/>
    <w:rsid w:val="0027781E"/>
    <w:rsid w:val="00282116"/>
    <w:rsid w:val="00283F67"/>
    <w:rsid w:val="00283F98"/>
    <w:rsid w:val="00287915"/>
    <w:rsid w:val="00290AF9"/>
    <w:rsid w:val="002A208B"/>
    <w:rsid w:val="002A2118"/>
    <w:rsid w:val="002A3A58"/>
    <w:rsid w:val="002A6430"/>
    <w:rsid w:val="002A75A1"/>
    <w:rsid w:val="002B0730"/>
    <w:rsid w:val="002B44C0"/>
    <w:rsid w:val="002C33B8"/>
    <w:rsid w:val="002D1021"/>
    <w:rsid w:val="002D2697"/>
    <w:rsid w:val="00302797"/>
    <w:rsid w:val="003043A8"/>
    <w:rsid w:val="003046D1"/>
    <w:rsid w:val="00304998"/>
    <w:rsid w:val="003066A1"/>
    <w:rsid w:val="00310236"/>
    <w:rsid w:val="00311869"/>
    <w:rsid w:val="0031300F"/>
    <w:rsid w:val="00313367"/>
    <w:rsid w:val="00313420"/>
    <w:rsid w:val="00317A86"/>
    <w:rsid w:val="00321528"/>
    <w:rsid w:val="0032765F"/>
    <w:rsid w:val="0033087B"/>
    <w:rsid w:val="00331963"/>
    <w:rsid w:val="00336B17"/>
    <w:rsid w:val="00336F21"/>
    <w:rsid w:val="00341ED4"/>
    <w:rsid w:val="003450E2"/>
    <w:rsid w:val="003467B5"/>
    <w:rsid w:val="00346F77"/>
    <w:rsid w:val="003479BF"/>
    <w:rsid w:val="0035357E"/>
    <w:rsid w:val="0035456E"/>
    <w:rsid w:val="00354CDB"/>
    <w:rsid w:val="00356A1F"/>
    <w:rsid w:val="00360C83"/>
    <w:rsid w:val="00373735"/>
    <w:rsid w:val="00374999"/>
    <w:rsid w:val="0037727A"/>
    <w:rsid w:val="00382A7C"/>
    <w:rsid w:val="00392348"/>
    <w:rsid w:val="00392E30"/>
    <w:rsid w:val="003A0DBC"/>
    <w:rsid w:val="003A3679"/>
    <w:rsid w:val="003B6BD8"/>
    <w:rsid w:val="003C763B"/>
    <w:rsid w:val="003C7B50"/>
    <w:rsid w:val="003D22B3"/>
    <w:rsid w:val="003D613F"/>
    <w:rsid w:val="003E2A52"/>
    <w:rsid w:val="003E71DE"/>
    <w:rsid w:val="003F3F46"/>
    <w:rsid w:val="003F7678"/>
    <w:rsid w:val="00401E16"/>
    <w:rsid w:val="00404DDB"/>
    <w:rsid w:val="00406F45"/>
    <w:rsid w:val="00416D80"/>
    <w:rsid w:val="00421BB9"/>
    <w:rsid w:val="00424B16"/>
    <w:rsid w:val="0044075C"/>
    <w:rsid w:val="00441D9D"/>
    <w:rsid w:val="004467EA"/>
    <w:rsid w:val="00455655"/>
    <w:rsid w:val="00462604"/>
    <w:rsid w:val="004637AE"/>
    <w:rsid w:val="00465120"/>
    <w:rsid w:val="00465535"/>
    <w:rsid w:val="0046570F"/>
    <w:rsid w:val="0046657E"/>
    <w:rsid w:val="00483D17"/>
    <w:rsid w:val="004909DD"/>
    <w:rsid w:val="00491B30"/>
    <w:rsid w:val="004935CA"/>
    <w:rsid w:val="0049583A"/>
    <w:rsid w:val="004A31E7"/>
    <w:rsid w:val="004A4124"/>
    <w:rsid w:val="004B0D3F"/>
    <w:rsid w:val="004B44BE"/>
    <w:rsid w:val="004B6340"/>
    <w:rsid w:val="004C3F62"/>
    <w:rsid w:val="004C6AE2"/>
    <w:rsid w:val="004D4E22"/>
    <w:rsid w:val="004E3184"/>
    <w:rsid w:val="004E5AD2"/>
    <w:rsid w:val="005071E9"/>
    <w:rsid w:val="00513E7F"/>
    <w:rsid w:val="0051479D"/>
    <w:rsid w:val="005300C3"/>
    <w:rsid w:val="0053113A"/>
    <w:rsid w:val="0054095C"/>
    <w:rsid w:val="00543B79"/>
    <w:rsid w:val="00551AE3"/>
    <w:rsid w:val="00554A0B"/>
    <w:rsid w:val="0055587D"/>
    <w:rsid w:val="0056473D"/>
    <w:rsid w:val="00570B26"/>
    <w:rsid w:val="00573A9B"/>
    <w:rsid w:val="00574816"/>
    <w:rsid w:val="0057557E"/>
    <w:rsid w:val="005759F0"/>
    <w:rsid w:val="00583571"/>
    <w:rsid w:val="005861FE"/>
    <w:rsid w:val="0059527E"/>
    <w:rsid w:val="005A0A20"/>
    <w:rsid w:val="005A3B95"/>
    <w:rsid w:val="005A56AA"/>
    <w:rsid w:val="005A64E1"/>
    <w:rsid w:val="005B21A7"/>
    <w:rsid w:val="005B24FE"/>
    <w:rsid w:val="005B27BF"/>
    <w:rsid w:val="005B7599"/>
    <w:rsid w:val="005C0C6C"/>
    <w:rsid w:val="005C6DAE"/>
    <w:rsid w:val="005C6E16"/>
    <w:rsid w:val="005D04B4"/>
    <w:rsid w:val="005D06BC"/>
    <w:rsid w:val="005D148D"/>
    <w:rsid w:val="005D3ED9"/>
    <w:rsid w:val="005D5FEF"/>
    <w:rsid w:val="005D6599"/>
    <w:rsid w:val="005E0415"/>
    <w:rsid w:val="005E23D7"/>
    <w:rsid w:val="005E2641"/>
    <w:rsid w:val="005E5A84"/>
    <w:rsid w:val="005F0A0F"/>
    <w:rsid w:val="005F1764"/>
    <w:rsid w:val="005F7C31"/>
    <w:rsid w:val="0060378E"/>
    <w:rsid w:val="00617EA8"/>
    <w:rsid w:val="00630F6B"/>
    <w:rsid w:val="006317FC"/>
    <w:rsid w:val="0063257F"/>
    <w:rsid w:val="00634C5F"/>
    <w:rsid w:val="00636757"/>
    <w:rsid w:val="0066414E"/>
    <w:rsid w:val="00673D4B"/>
    <w:rsid w:val="00675F19"/>
    <w:rsid w:val="0068073B"/>
    <w:rsid w:val="00680F14"/>
    <w:rsid w:val="00682F25"/>
    <w:rsid w:val="006842CF"/>
    <w:rsid w:val="00684A59"/>
    <w:rsid w:val="00685E41"/>
    <w:rsid w:val="006871A3"/>
    <w:rsid w:val="006967DF"/>
    <w:rsid w:val="0069741A"/>
    <w:rsid w:val="006A05D4"/>
    <w:rsid w:val="006A7FA8"/>
    <w:rsid w:val="006B113A"/>
    <w:rsid w:val="006B68E6"/>
    <w:rsid w:val="006C3C7C"/>
    <w:rsid w:val="006C50FF"/>
    <w:rsid w:val="006C71EF"/>
    <w:rsid w:val="006D0803"/>
    <w:rsid w:val="006D50E7"/>
    <w:rsid w:val="006E1DCA"/>
    <w:rsid w:val="006E6DD1"/>
    <w:rsid w:val="006F205C"/>
    <w:rsid w:val="006F28FD"/>
    <w:rsid w:val="006F33F2"/>
    <w:rsid w:val="006F3B2E"/>
    <w:rsid w:val="006F6CF1"/>
    <w:rsid w:val="00704908"/>
    <w:rsid w:val="007107DE"/>
    <w:rsid w:val="00711D49"/>
    <w:rsid w:val="00720CAC"/>
    <w:rsid w:val="0072354E"/>
    <w:rsid w:val="00733BDC"/>
    <w:rsid w:val="00733BF5"/>
    <w:rsid w:val="00740DD9"/>
    <w:rsid w:val="00745ED0"/>
    <w:rsid w:val="0075261A"/>
    <w:rsid w:val="00752763"/>
    <w:rsid w:val="00756F34"/>
    <w:rsid w:val="007570CF"/>
    <w:rsid w:val="007577D4"/>
    <w:rsid w:val="00763F2B"/>
    <w:rsid w:val="00764A2D"/>
    <w:rsid w:val="00764FDC"/>
    <w:rsid w:val="007709A6"/>
    <w:rsid w:val="00771C5C"/>
    <w:rsid w:val="00775AD1"/>
    <w:rsid w:val="00782600"/>
    <w:rsid w:val="00782A7E"/>
    <w:rsid w:val="00783313"/>
    <w:rsid w:val="0078519F"/>
    <w:rsid w:val="007859DA"/>
    <w:rsid w:val="00787C3D"/>
    <w:rsid w:val="00793AA8"/>
    <w:rsid w:val="007A3BF0"/>
    <w:rsid w:val="007A6B37"/>
    <w:rsid w:val="007B4B65"/>
    <w:rsid w:val="007B5FB9"/>
    <w:rsid w:val="007B6BE6"/>
    <w:rsid w:val="007C0BC4"/>
    <w:rsid w:val="007C169D"/>
    <w:rsid w:val="007C1797"/>
    <w:rsid w:val="007C2442"/>
    <w:rsid w:val="007C40AA"/>
    <w:rsid w:val="007D620B"/>
    <w:rsid w:val="007E07B8"/>
    <w:rsid w:val="007E364D"/>
    <w:rsid w:val="007F0F2A"/>
    <w:rsid w:val="007F217F"/>
    <w:rsid w:val="007F4BEC"/>
    <w:rsid w:val="00802E51"/>
    <w:rsid w:val="008050E4"/>
    <w:rsid w:val="008053BA"/>
    <w:rsid w:val="00812FCD"/>
    <w:rsid w:val="00814A0E"/>
    <w:rsid w:val="008169C5"/>
    <w:rsid w:val="008177C0"/>
    <w:rsid w:val="00817BB0"/>
    <w:rsid w:val="00821084"/>
    <w:rsid w:val="008214DE"/>
    <w:rsid w:val="00827AB0"/>
    <w:rsid w:val="008305D7"/>
    <w:rsid w:val="0083254B"/>
    <w:rsid w:val="00833CF6"/>
    <w:rsid w:val="00835C95"/>
    <w:rsid w:val="00840B60"/>
    <w:rsid w:val="008464DD"/>
    <w:rsid w:val="008532BB"/>
    <w:rsid w:val="00860806"/>
    <w:rsid w:val="00866E13"/>
    <w:rsid w:val="008744A8"/>
    <w:rsid w:val="00874B51"/>
    <w:rsid w:val="00876D8F"/>
    <w:rsid w:val="008834A7"/>
    <w:rsid w:val="00896251"/>
    <w:rsid w:val="00897669"/>
    <w:rsid w:val="008A226C"/>
    <w:rsid w:val="008A4720"/>
    <w:rsid w:val="008A5779"/>
    <w:rsid w:val="008C0039"/>
    <w:rsid w:val="008C27A0"/>
    <w:rsid w:val="008C4CA0"/>
    <w:rsid w:val="008C5B3D"/>
    <w:rsid w:val="008E2AEC"/>
    <w:rsid w:val="008E5CF2"/>
    <w:rsid w:val="008E7EB3"/>
    <w:rsid w:val="008F13DA"/>
    <w:rsid w:val="008F3681"/>
    <w:rsid w:val="008F3738"/>
    <w:rsid w:val="008F3B61"/>
    <w:rsid w:val="008F3D04"/>
    <w:rsid w:val="0090162A"/>
    <w:rsid w:val="00906E76"/>
    <w:rsid w:val="009104C9"/>
    <w:rsid w:val="00911FC0"/>
    <w:rsid w:val="00914091"/>
    <w:rsid w:val="009243C9"/>
    <w:rsid w:val="00931BB2"/>
    <w:rsid w:val="00931C8B"/>
    <w:rsid w:val="009379CD"/>
    <w:rsid w:val="00963489"/>
    <w:rsid w:val="009644A2"/>
    <w:rsid w:val="00965E61"/>
    <w:rsid w:val="009661A3"/>
    <w:rsid w:val="009754E3"/>
    <w:rsid w:val="0098622E"/>
    <w:rsid w:val="0099101B"/>
    <w:rsid w:val="009926B1"/>
    <w:rsid w:val="009A0AF4"/>
    <w:rsid w:val="009A2AF9"/>
    <w:rsid w:val="009A668F"/>
    <w:rsid w:val="009A68BA"/>
    <w:rsid w:val="009B2AD7"/>
    <w:rsid w:val="009B2B2A"/>
    <w:rsid w:val="009C07F8"/>
    <w:rsid w:val="009C312C"/>
    <w:rsid w:val="009C5468"/>
    <w:rsid w:val="009C7A06"/>
    <w:rsid w:val="009D5C7F"/>
    <w:rsid w:val="009E6CC0"/>
    <w:rsid w:val="009F2DCE"/>
    <w:rsid w:val="009F5CB4"/>
    <w:rsid w:val="00A037FD"/>
    <w:rsid w:val="00A06156"/>
    <w:rsid w:val="00A07148"/>
    <w:rsid w:val="00A076D2"/>
    <w:rsid w:val="00A2262E"/>
    <w:rsid w:val="00A26E8A"/>
    <w:rsid w:val="00A3189E"/>
    <w:rsid w:val="00A334F4"/>
    <w:rsid w:val="00A3549C"/>
    <w:rsid w:val="00A41FD4"/>
    <w:rsid w:val="00A45CF2"/>
    <w:rsid w:val="00A46D8F"/>
    <w:rsid w:val="00A52676"/>
    <w:rsid w:val="00A56DD1"/>
    <w:rsid w:val="00A65591"/>
    <w:rsid w:val="00A74A6E"/>
    <w:rsid w:val="00A764C0"/>
    <w:rsid w:val="00A771B1"/>
    <w:rsid w:val="00A86AFA"/>
    <w:rsid w:val="00A959DE"/>
    <w:rsid w:val="00AA15EC"/>
    <w:rsid w:val="00AA6E15"/>
    <w:rsid w:val="00AA7019"/>
    <w:rsid w:val="00AA764D"/>
    <w:rsid w:val="00AB305C"/>
    <w:rsid w:val="00AB4902"/>
    <w:rsid w:val="00AB53EC"/>
    <w:rsid w:val="00AC0F93"/>
    <w:rsid w:val="00AD6AC7"/>
    <w:rsid w:val="00AD7A4D"/>
    <w:rsid w:val="00AE1CFC"/>
    <w:rsid w:val="00AF441E"/>
    <w:rsid w:val="00AF55B8"/>
    <w:rsid w:val="00AF56EF"/>
    <w:rsid w:val="00B006D4"/>
    <w:rsid w:val="00B00F4F"/>
    <w:rsid w:val="00B016C6"/>
    <w:rsid w:val="00B03C22"/>
    <w:rsid w:val="00B07498"/>
    <w:rsid w:val="00B1727A"/>
    <w:rsid w:val="00B22BB6"/>
    <w:rsid w:val="00B22C40"/>
    <w:rsid w:val="00B24DA5"/>
    <w:rsid w:val="00B2500E"/>
    <w:rsid w:val="00B27C65"/>
    <w:rsid w:val="00B34298"/>
    <w:rsid w:val="00B4271D"/>
    <w:rsid w:val="00B42B24"/>
    <w:rsid w:val="00B44156"/>
    <w:rsid w:val="00B47699"/>
    <w:rsid w:val="00B47AA0"/>
    <w:rsid w:val="00B50CA6"/>
    <w:rsid w:val="00B51243"/>
    <w:rsid w:val="00B539B1"/>
    <w:rsid w:val="00B547DC"/>
    <w:rsid w:val="00B55381"/>
    <w:rsid w:val="00B5776C"/>
    <w:rsid w:val="00B6265F"/>
    <w:rsid w:val="00B6438D"/>
    <w:rsid w:val="00B65D73"/>
    <w:rsid w:val="00B765CA"/>
    <w:rsid w:val="00B773D0"/>
    <w:rsid w:val="00B80432"/>
    <w:rsid w:val="00B82731"/>
    <w:rsid w:val="00B82E8E"/>
    <w:rsid w:val="00B8593E"/>
    <w:rsid w:val="00B859C7"/>
    <w:rsid w:val="00B91FD4"/>
    <w:rsid w:val="00B938D4"/>
    <w:rsid w:val="00B969C8"/>
    <w:rsid w:val="00BA18F4"/>
    <w:rsid w:val="00BA327C"/>
    <w:rsid w:val="00BA4E63"/>
    <w:rsid w:val="00BB1FEE"/>
    <w:rsid w:val="00BB5450"/>
    <w:rsid w:val="00BD0AAB"/>
    <w:rsid w:val="00BD3B3B"/>
    <w:rsid w:val="00BD4EF7"/>
    <w:rsid w:val="00BE1996"/>
    <w:rsid w:val="00BE31E5"/>
    <w:rsid w:val="00BE3A19"/>
    <w:rsid w:val="00BE5651"/>
    <w:rsid w:val="00BE5DA2"/>
    <w:rsid w:val="00BF0442"/>
    <w:rsid w:val="00BF316C"/>
    <w:rsid w:val="00BF7160"/>
    <w:rsid w:val="00C010D0"/>
    <w:rsid w:val="00C12E9E"/>
    <w:rsid w:val="00C14899"/>
    <w:rsid w:val="00C14B3B"/>
    <w:rsid w:val="00C14B6C"/>
    <w:rsid w:val="00C24ECF"/>
    <w:rsid w:val="00C25A7F"/>
    <w:rsid w:val="00C33971"/>
    <w:rsid w:val="00C434CE"/>
    <w:rsid w:val="00C44960"/>
    <w:rsid w:val="00C47280"/>
    <w:rsid w:val="00C5198D"/>
    <w:rsid w:val="00C54896"/>
    <w:rsid w:val="00C57939"/>
    <w:rsid w:val="00C61E0B"/>
    <w:rsid w:val="00C64DC7"/>
    <w:rsid w:val="00C679A9"/>
    <w:rsid w:val="00C72E48"/>
    <w:rsid w:val="00C77430"/>
    <w:rsid w:val="00C80681"/>
    <w:rsid w:val="00C910BC"/>
    <w:rsid w:val="00C92D79"/>
    <w:rsid w:val="00CA0A1E"/>
    <w:rsid w:val="00CA44BF"/>
    <w:rsid w:val="00CA7B60"/>
    <w:rsid w:val="00CB653F"/>
    <w:rsid w:val="00CB6850"/>
    <w:rsid w:val="00CB75B4"/>
    <w:rsid w:val="00CC00BD"/>
    <w:rsid w:val="00CC096F"/>
    <w:rsid w:val="00CC306A"/>
    <w:rsid w:val="00CC3979"/>
    <w:rsid w:val="00CC79DE"/>
    <w:rsid w:val="00CD01FC"/>
    <w:rsid w:val="00CD0FF5"/>
    <w:rsid w:val="00CD2DAF"/>
    <w:rsid w:val="00CD3D9B"/>
    <w:rsid w:val="00CD4649"/>
    <w:rsid w:val="00CD5594"/>
    <w:rsid w:val="00CE0F9C"/>
    <w:rsid w:val="00CE2A5C"/>
    <w:rsid w:val="00CE4A3B"/>
    <w:rsid w:val="00CF2859"/>
    <w:rsid w:val="00CF2D8E"/>
    <w:rsid w:val="00D0259A"/>
    <w:rsid w:val="00D04047"/>
    <w:rsid w:val="00D0603C"/>
    <w:rsid w:val="00D11BF3"/>
    <w:rsid w:val="00D127AF"/>
    <w:rsid w:val="00D13A54"/>
    <w:rsid w:val="00D14EBA"/>
    <w:rsid w:val="00D17B6C"/>
    <w:rsid w:val="00D30760"/>
    <w:rsid w:val="00D32543"/>
    <w:rsid w:val="00D36FB1"/>
    <w:rsid w:val="00D37817"/>
    <w:rsid w:val="00D41DED"/>
    <w:rsid w:val="00D42E95"/>
    <w:rsid w:val="00D462FB"/>
    <w:rsid w:val="00D46EE3"/>
    <w:rsid w:val="00D51FC0"/>
    <w:rsid w:val="00D53075"/>
    <w:rsid w:val="00D54346"/>
    <w:rsid w:val="00D61AFD"/>
    <w:rsid w:val="00D71CCE"/>
    <w:rsid w:val="00D73CB9"/>
    <w:rsid w:val="00D803FB"/>
    <w:rsid w:val="00D80762"/>
    <w:rsid w:val="00D8641D"/>
    <w:rsid w:val="00D95586"/>
    <w:rsid w:val="00DA75C9"/>
    <w:rsid w:val="00DB0562"/>
    <w:rsid w:val="00DB19B1"/>
    <w:rsid w:val="00DB49C3"/>
    <w:rsid w:val="00DC2126"/>
    <w:rsid w:val="00DC2F95"/>
    <w:rsid w:val="00DC5806"/>
    <w:rsid w:val="00DC7BBA"/>
    <w:rsid w:val="00DD2A21"/>
    <w:rsid w:val="00DD36A3"/>
    <w:rsid w:val="00DE09FC"/>
    <w:rsid w:val="00DE17E4"/>
    <w:rsid w:val="00E05E9F"/>
    <w:rsid w:val="00E127E3"/>
    <w:rsid w:val="00E13BC8"/>
    <w:rsid w:val="00E1518C"/>
    <w:rsid w:val="00E21931"/>
    <w:rsid w:val="00E254DB"/>
    <w:rsid w:val="00E25A0B"/>
    <w:rsid w:val="00E26162"/>
    <w:rsid w:val="00E33019"/>
    <w:rsid w:val="00E34B49"/>
    <w:rsid w:val="00E37A6F"/>
    <w:rsid w:val="00E41AA9"/>
    <w:rsid w:val="00E4453B"/>
    <w:rsid w:val="00E60E14"/>
    <w:rsid w:val="00E6442D"/>
    <w:rsid w:val="00E64FBB"/>
    <w:rsid w:val="00E72640"/>
    <w:rsid w:val="00E76181"/>
    <w:rsid w:val="00E831F9"/>
    <w:rsid w:val="00E835D6"/>
    <w:rsid w:val="00E8487D"/>
    <w:rsid w:val="00E91FB5"/>
    <w:rsid w:val="00E91FE4"/>
    <w:rsid w:val="00E940F1"/>
    <w:rsid w:val="00E975D1"/>
    <w:rsid w:val="00E97828"/>
    <w:rsid w:val="00ED0E46"/>
    <w:rsid w:val="00ED26D1"/>
    <w:rsid w:val="00EE24EF"/>
    <w:rsid w:val="00EF76D6"/>
    <w:rsid w:val="00F01516"/>
    <w:rsid w:val="00F038C6"/>
    <w:rsid w:val="00F05E3F"/>
    <w:rsid w:val="00F10549"/>
    <w:rsid w:val="00F1403B"/>
    <w:rsid w:val="00F22C17"/>
    <w:rsid w:val="00F249B7"/>
    <w:rsid w:val="00F24FF2"/>
    <w:rsid w:val="00F32744"/>
    <w:rsid w:val="00F37972"/>
    <w:rsid w:val="00F4488F"/>
    <w:rsid w:val="00F46B64"/>
    <w:rsid w:val="00F54379"/>
    <w:rsid w:val="00F567B4"/>
    <w:rsid w:val="00F56AE2"/>
    <w:rsid w:val="00F67F9D"/>
    <w:rsid w:val="00F75107"/>
    <w:rsid w:val="00F756AB"/>
    <w:rsid w:val="00F76A64"/>
    <w:rsid w:val="00F77499"/>
    <w:rsid w:val="00F81F31"/>
    <w:rsid w:val="00F84C6D"/>
    <w:rsid w:val="00F865E9"/>
    <w:rsid w:val="00F95E61"/>
    <w:rsid w:val="00FA2ECA"/>
    <w:rsid w:val="00FA524B"/>
    <w:rsid w:val="00FB1AC2"/>
    <w:rsid w:val="00FB235F"/>
    <w:rsid w:val="00FC0104"/>
    <w:rsid w:val="00FC2D80"/>
    <w:rsid w:val="00FD3BE5"/>
    <w:rsid w:val="00FD3DFB"/>
    <w:rsid w:val="00FD6D49"/>
    <w:rsid w:val="00FD73B2"/>
    <w:rsid w:val="00FE21F2"/>
    <w:rsid w:val="00FF1B5E"/>
    <w:rsid w:val="00FF3A0B"/>
    <w:rsid w:val="00FF4CB1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0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paragraph" w:styleId="Ttulo6">
    <w:name w:val="heading 6"/>
    <w:basedOn w:val="Normal"/>
    <w:next w:val="Normal"/>
    <w:qFormat/>
    <w:rsid w:val="00CC00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uiPriority w:val="59"/>
    <w:rsid w:val="00B0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qFormat/>
    <w:rsid w:val="00020FE2"/>
    <w:pPr>
      <w:ind w:left="708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861F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83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31F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0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paragraph" w:styleId="Ttulo6">
    <w:name w:val="heading 6"/>
    <w:basedOn w:val="Normal"/>
    <w:next w:val="Normal"/>
    <w:qFormat/>
    <w:rsid w:val="00CC00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uiPriority w:val="59"/>
    <w:rsid w:val="00B0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qFormat/>
    <w:rsid w:val="00020FE2"/>
    <w:pPr>
      <w:ind w:left="708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861F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83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31F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42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endeenlinea.udea.edu.co/revistas/index.php/mutatismutandi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prendeenlinea.udea.edu.co/revistas/index.php/mutatismutand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3494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contenidos de cursos</vt:lpstr>
    </vt:vector>
  </TitlesOfParts>
  <Company>Escuela de Idiomas</Company>
  <LinksUpToDate>false</LinksUpToDate>
  <CharactersWithSpaces>22667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contenidos de cursos</dc:title>
  <dc:creator>Cristian Carvalho</dc:creator>
  <cp:lastModifiedBy>Usuario</cp:lastModifiedBy>
  <cp:revision>5</cp:revision>
  <cp:lastPrinted>2009-04-03T16:38:00Z</cp:lastPrinted>
  <dcterms:created xsi:type="dcterms:W3CDTF">2015-05-27T20:31:00Z</dcterms:created>
  <dcterms:modified xsi:type="dcterms:W3CDTF">2015-12-02T18:20:00Z</dcterms:modified>
  <cp:version>01</cp:version>
</cp:coreProperties>
</file>