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C4463" w14:textId="77777777" w:rsidR="008F5741" w:rsidRPr="00B52422" w:rsidRDefault="008F5741" w:rsidP="008F5741">
      <w:pPr>
        <w:pStyle w:val="Sinespaciado"/>
        <w:jc w:val="right"/>
        <w:rPr>
          <w:rFonts w:cs="Times New Roman"/>
          <w:sz w:val="22"/>
        </w:rPr>
      </w:pPr>
      <w:r w:rsidRPr="00B81A79">
        <w:rPr>
          <w:rFonts w:cs="Times New Roman"/>
          <w:sz w:val="22"/>
        </w:rPr>
        <w:t>OAI-</w:t>
      </w:r>
      <w:r w:rsidRPr="00B52422">
        <w:rPr>
          <w:rFonts w:cs="Times New Roman"/>
          <w:sz w:val="22"/>
        </w:rPr>
        <w:t>11210001-065</w:t>
      </w:r>
    </w:p>
    <w:p w14:paraId="3D082C0F" w14:textId="77777777" w:rsidR="008F5741" w:rsidRPr="00B81A79" w:rsidRDefault="008F5741" w:rsidP="008F5741">
      <w:pPr>
        <w:pStyle w:val="Sinespaciado"/>
        <w:jc w:val="right"/>
        <w:rPr>
          <w:rFonts w:cs="Times New Roman"/>
          <w:sz w:val="22"/>
        </w:rPr>
      </w:pPr>
      <w:r w:rsidRPr="00B52422">
        <w:rPr>
          <w:rFonts w:cs="Times New Roman"/>
          <w:sz w:val="22"/>
        </w:rPr>
        <w:t>IA-2018-009</w:t>
      </w:r>
    </w:p>
    <w:p w14:paraId="7D8F07BA" w14:textId="6EACD000" w:rsidR="008F5741" w:rsidRPr="00B81A79" w:rsidRDefault="008F5741" w:rsidP="008F5741">
      <w:pPr>
        <w:rPr>
          <w:sz w:val="22"/>
          <w:szCs w:val="22"/>
        </w:rPr>
      </w:pPr>
      <w:r w:rsidRPr="00B81A79">
        <w:rPr>
          <w:sz w:val="22"/>
          <w:szCs w:val="22"/>
        </w:rPr>
        <w:t xml:space="preserve">Medellín, </w:t>
      </w:r>
      <w:r w:rsidR="008857E5">
        <w:rPr>
          <w:sz w:val="22"/>
          <w:szCs w:val="22"/>
        </w:rPr>
        <w:t>21</w:t>
      </w:r>
      <w:r w:rsidRPr="00B81A79">
        <w:rPr>
          <w:sz w:val="22"/>
          <w:szCs w:val="22"/>
        </w:rPr>
        <w:t xml:space="preserve"> de </w:t>
      </w:r>
      <w:r w:rsidR="008857E5">
        <w:rPr>
          <w:sz w:val="22"/>
          <w:szCs w:val="22"/>
        </w:rPr>
        <w:t>agosto</w:t>
      </w:r>
      <w:r w:rsidRPr="00B81A79">
        <w:rPr>
          <w:sz w:val="22"/>
          <w:szCs w:val="22"/>
        </w:rPr>
        <w:t xml:space="preserve"> de 2018</w:t>
      </w:r>
    </w:p>
    <w:p w14:paraId="732857F6" w14:textId="77777777" w:rsidR="008F5741" w:rsidRPr="00B81A79" w:rsidRDefault="008F5741" w:rsidP="008F5741">
      <w:pPr>
        <w:pStyle w:val="Sinespaciado"/>
        <w:rPr>
          <w:rFonts w:cs="Times New Roman"/>
          <w:sz w:val="22"/>
        </w:rPr>
      </w:pPr>
    </w:p>
    <w:p w14:paraId="6DC3800F" w14:textId="77777777" w:rsidR="008F5741" w:rsidRPr="00B81A79" w:rsidRDefault="008F5741" w:rsidP="008F5741">
      <w:pPr>
        <w:pStyle w:val="Sinespaciado"/>
        <w:rPr>
          <w:rFonts w:cs="Times New Roman"/>
          <w:sz w:val="22"/>
        </w:rPr>
      </w:pPr>
      <w:r w:rsidRPr="00B81A79">
        <w:rPr>
          <w:rFonts w:cs="Times New Roman"/>
          <w:sz w:val="22"/>
        </w:rPr>
        <w:t>Doctor</w:t>
      </w:r>
    </w:p>
    <w:p w14:paraId="0014BDDC" w14:textId="77777777" w:rsidR="008F5741" w:rsidRPr="000933A6" w:rsidRDefault="008F5741" w:rsidP="008F5741">
      <w:pPr>
        <w:pStyle w:val="Sinespaciado"/>
        <w:rPr>
          <w:rFonts w:cs="Times New Roman"/>
          <w:sz w:val="22"/>
        </w:rPr>
      </w:pPr>
      <w:r w:rsidRPr="000933A6">
        <w:rPr>
          <w:rFonts w:cs="Times New Roman"/>
          <w:sz w:val="22"/>
        </w:rPr>
        <w:t>JHON JAIRO ARBOLEDA CESPEDES</w:t>
      </w:r>
    </w:p>
    <w:p w14:paraId="36C43E85" w14:textId="77777777" w:rsidR="008F5741" w:rsidRPr="00B81A79" w:rsidRDefault="008F5741" w:rsidP="008F5741">
      <w:pPr>
        <w:pStyle w:val="Sinespaciado"/>
        <w:rPr>
          <w:rFonts w:cs="Times New Roman"/>
          <w:sz w:val="22"/>
        </w:rPr>
      </w:pPr>
      <w:r w:rsidRPr="00B81A79">
        <w:rPr>
          <w:rFonts w:cs="Times New Roman"/>
          <w:sz w:val="22"/>
        </w:rPr>
        <w:t>Rector</w:t>
      </w:r>
    </w:p>
    <w:p w14:paraId="219F447E" w14:textId="77777777" w:rsidR="008F5741" w:rsidRPr="00B81A79" w:rsidRDefault="008F5741" w:rsidP="008F5741">
      <w:pPr>
        <w:pStyle w:val="Sinespaciado"/>
        <w:rPr>
          <w:rFonts w:cs="Times New Roman"/>
          <w:sz w:val="22"/>
        </w:rPr>
      </w:pPr>
      <w:r w:rsidRPr="00B81A79">
        <w:rPr>
          <w:rFonts w:cs="Times New Roman"/>
          <w:sz w:val="22"/>
        </w:rPr>
        <w:t>Universidad de Antioquia</w:t>
      </w:r>
    </w:p>
    <w:p w14:paraId="76136485" w14:textId="77777777" w:rsidR="008F5741" w:rsidRPr="00B81A79" w:rsidRDefault="008F5741" w:rsidP="008F5741">
      <w:pPr>
        <w:pStyle w:val="Sinespaciado"/>
        <w:rPr>
          <w:rFonts w:cs="Times New Roman"/>
          <w:sz w:val="22"/>
        </w:rPr>
      </w:pPr>
      <w:r w:rsidRPr="00B81A79">
        <w:rPr>
          <w:rFonts w:cs="Times New Roman"/>
          <w:sz w:val="22"/>
        </w:rPr>
        <w:t>Medellín, Antioquia</w:t>
      </w:r>
    </w:p>
    <w:p w14:paraId="61043ED8" w14:textId="77777777" w:rsidR="008F5741" w:rsidRPr="00B81A79" w:rsidRDefault="008F5741" w:rsidP="008F5741">
      <w:pPr>
        <w:pStyle w:val="Sinespaciado"/>
        <w:rPr>
          <w:rFonts w:cs="Times New Roman"/>
          <w:sz w:val="22"/>
        </w:rPr>
      </w:pPr>
    </w:p>
    <w:p w14:paraId="7AEBE079" w14:textId="77777777" w:rsidR="008F5741" w:rsidRPr="00B81A79" w:rsidRDefault="008F5741" w:rsidP="008F5741">
      <w:pPr>
        <w:tabs>
          <w:tab w:val="left" w:pos="851"/>
        </w:tabs>
        <w:ind w:left="851" w:hanging="851"/>
        <w:rPr>
          <w:sz w:val="22"/>
          <w:szCs w:val="22"/>
        </w:rPr>
      </w:pPr>
      <w:r w:rsidRPr="00B81A79">
        <w:rPr>
          <w:sz w:val="22"/>
          <w:szCs w:val="22"/>
        </w:rPr>
        <w:t>Asunto:</w:t>
      </w:r>
      <w:r w:rsidRPr="00B81A79">
        <w:rPr>
          <w:sz w:val="22"/>
          <w:szCs w:val="22"/>
        </w:rPr>
        <w:tab/>
      </w:r>
      <w:r>
        <w:rPr>
          <w:sz w:val="22"/>
          <w:szCs w:val="22"/>
        </w:rPr>
        <w:t>Resultados c</w:t>
      </w:r>
      <w:r w:rsidRPr="003C6AF3">
        <w:rPr>
          <w:sz w:val="22"/>
          <w:szCs w:val="22"/>
        </w:rPr>
        <w:t xml:space="preserve">onsolidación de </w:t>
      </w:r>
      <w:r>
        <w:rPr>
          <w:sz w:val="22"/>
          <w:szCs w:val="22"/>
        </w:rPr>
        <w:t>i</w:t>
      </w:r>
      <w:r w:rsidRPr="003C6AF3">
        <w:rPr>
          <w:sz w:val="22"/>
          <w:szCs w:val="22"/>
        </w:rPr>
        <w:t>n</w:t>
      </w:r>
      <w:r>
        <w:rPr>
          <w:sz w:val="22"/>
          <w:szCs w:val="22"/>
        </w:rPr>
        <w:t>formación</w:t>
      </w:r>
      <w:r w:rsidRPr="003C6AF3">
        <w:rPr>
          <w:sz w:val="22"/>
          <w:szCs w:val="22"/>
        </w:rPr>
        <w:t xml:space="preserve"> </w:t>
      </w:r>
      <w:r>
        <w:rPr>
          <w:sz w:val="22"/>
          <w:szCs w:val="22"/>
        </w:rPr>
        <w:t>p</w:t>
      </w:r>
      <w:r w:rsidRPr="003C6AF3">
        <w:rPr>
          <w:sz w:val="22"/>
          <w:szCs w:val="22"/>
        </w:rPr>
        <w:t>royecto Complejo de la Salud</w:t>
      </w:r>
      <w:r w:rsidRPr="00B81A79">
        <w:rPr>
          <w:sz w:val="22"/>
          <w:szCs w:val="22"/>
        </w:rPr>
        <w:t>.</w:t>
      </w:r>
    </w:p>
    <w:p w14:paraId="460F7366" w14:textId="77777777" w:rsidR="008F5741" w:rsidRPr="00B81A79" w:rsidRDefault="008F5741" w:rsidP="008F5741">
      <w:pPr>
        <w:pStyle w:val="Sinespaciado"/>
        <w:rPr>
          <w:rFonts w:cs="Times New Roman"/>
          <w:sz w:val="22"/>
        </w:rPr>
      </w:pPr>
    </w:p>
    <w:p w14:paraId="59CAEA31" w14:textId="77777777" w:rsidR="008F5741" w:rsidRPr="00B81A79" w:rsidRDefault="008F5741" w:rsidP="008F5741">
      <w:pPr>
        <w:rPr>
          <w:sz w:val="22"/>
          <w:szCs w:val="22"/>
        </w:rPr>
      </w:pPr>
      <w:r w:rsidRPr="00B81A79">
        <w:rPr>
          <w:sz w:val="22"/>
          <w:szCs w:val="22"/>
        </w:rPr>
        <w:t>Respetado doctor Arboleda:</w:t>
      </w:r>
    </w:p>
    <w:p w14:paraId="58874758" w14:textId="77777777" w:rsidR="008F5741" w:rsidRPr="00B81A79" w:rsidRDefault="008F5741" w:rsidP="008F5741">
      <w:pPr>
        <w:pStyle w:val="Sinespaciado"/>
        <w:rPr>
          <w:rFonts w:cs="Times New Roman"/>
          <w:sz w:val="22"/>
        </w:rPr>
      </w:pPr>
    </w:p>
    <w:p w14:paraId="58C8EA3C" w14:textId="77777777" w:rsidR="008F5741" w:rsidRDefault="008F5741" w:rsidP="008F5741">
      <w:pPr>
        <w:jc w:val="both"/>
        <w:rPr>
          <w:sz w:val="22"/>
          <w:szCs w:val="22"/>
        </w:rPr>
      </w:pPr>
      <w:r w:rsidRPr="00B81A79">
        <w:rPr>
          <w:rFonts w:eastAsia="Calibri"/>
          <w:sz w:val="22"/>
          <w:szCs w:val="22"/>
          <w:lang w:eastAsia="en-US"/>
        </w:rPr>
        <w:t xml:space="preserve">A continuación, </w:t>
      </w:r>
      <w:r>
        <w:rPr>
          <w:rFonts w:eastAsia="Calibri"/>
          <w:sz w:val="22"/>
          <w:szCs w:val="22"/>
          <w:lang w:eastAsia="en-US"/>
        </w:rPr>
        <w:t>se presentan</w:t>
      </w:r>
      <w:r w:rsidRPr="00B81A79">
        <w:rPr>
          <w:rFonts w:eastAsia="Calibri"/>
          <w:sz w:val="22"/>
          <w:szCs w:val="22"/>
          <w:lang w:eastAsia="en-US"/>
        </w:rPr>
        <w:t xml:space="preserve"> los resultados obtenidos en la </w:t>
      </w:r>
      <w:r w:rsidRPr="00B81A79">
        <w:rPr>
          <w:rFonts w:eastAsia="Calibri"/>
          <w:sz w:val="22"/>
          <w:szCs w:val="22"/>
        </w:rPr>
        <w:t>consolidación</w:t>
      </w:r>
      <w:r>
        <w:rPr>
          <w:rFonts w:eastAsia="Calibri"/>
          <w:sz w:val="22"/>
          <w:szCs w:val="22"/>
        </w:rPr>
        <w:t xml:space="preserve"> </w:t>
      </w:r>
      <w:r w:rsidRPr="00B81A79">
        <w:rPr>
          <w:rFonts w:eastAsia="Calibri"/>
          <w:sz w:val="22"/>
          <w:szCs w:val="22"/>
        </w:rPr>
        <w:t xml:space="preserve">de la información relacionada con el </w:t>
      </w:r>
      <w:r>
        <w:rPr>
          <w:rFonts w:eastAsia="Calibri"/>
          <w:sz w:val="22"/>
          <w:szCs w:val="22"/>
        </w:rPr>
        <w:t>P</w:t>
      </w:r>
      <w:r w:rsidRPr="00B81A79">
        <w:rPr>
          <w:rFonts w:eastAsia="Calibri"/>
          <w:sz w:val="22"/>
          <w:szCs w:val="22"/>
        </w:rPr>
        <w:t>royecto del Complejo de la Salud</w:t>
      </w:r>
      <w:r>
        <w:rPr>
          <w:rFonts w:eastAsia="Calibri"/>
          <w:sz w:val="22"/>
          <w:szCs w:val="22"/>
        </w:rPr>
        <w:t>;</w:t>
      </w:r>
      <w:r w:rsidRPr="00B81A79">
        <w:rPr>
          <w:rFonts w:eastAsia="Calibri"/>
          <w:sz w:val="22"/>
          <w:szCs w:val="22"/>
        </w:rPr>
        <w:t xml:space="preserve"> dispuesta por </w:t>
      </w:r>
      <w:r w:rsidRPr="00B81A79">
        <w:rPr>
          <w:sz w:val="22"/>
          <w:szCs w:val="22"/>
        </w:rPr>
        <w:t>la Vicerrectoría General, la Vicerrectoría Administrativa,</w:t>
      </w:r>
      <w:r>
        <w:rPr>
          <w:sz w:val="22"/>
          <w:szCs w:val="22"/>
        </w:rPr>
        <w:t xml:space="preserve"> la Facultad Nacional de Salud Pública, </w:t>
      </w:r>
      <w:r w:rsidRPr="00B81A79">
        <w:rPr>
          <w:sz w:val="22"/>
          <w:szCs w:val="22"/>
        </w:rPr>
        <w:t xml:space="preserve">la Directora General y </w:t>
      </w:r>
      <w:r>
        <w:rPr>
          <w:sz w:val="22"/>
          <w:szCs w:val="22"/>
        </w:rPr>
        <w:t xml:space="preserve">la </w:t>
      </w:r>
      <w:r w:rsidRPr="00B81A79">
        <w:rPr>
          <w:sz w:val="22"/>
          <w:szCs w:val="22"/>
        </w:rPr>
        <w:t>Gerencia Técnica del Proyecto</w:t>
      </w:r>
      <w:r>
        <w:rPr>
          <w:sz w:val="22"/>
          <w:szCs w:val="22"/>
        </w:rPr>
        <w:t xml:space="preserve">. </w:t>
      </w:r>
    </w:p>
    <w:p w14:paraId="2ECEF5E3" w14:textId="77777777" w:rsidR="008F5741" w:rsidRDefault="008F5741" w:rsidP="008F5741">
      <w:pPr>
        <w:jc w:val="both"/>
        <w:rPr>
          <w:sz w:val="22"/>
          <w:szCs w:val="22"/>
        </w:rPr>
      </w:pPr>
    </w:p>
    <w:p w14:paraId="54BBC321" w14:textId="77777777" w:rsidR="008F5741" w:rsidRPr="00B81A79" w:rsidRDefault="008F5741" w:rsidP="008F5741">
      <w:pPr>
        <w:jc w:val="both"/>
        <w:rPr>
          <w:rFonts w:eastAsia="Calibri"/>
          <w:sz w:val="22"/>
          <w:szCs w:val="22"/>
        </w:rPr>
      </w:pPr>
      <w:r>
        <w:rPr>
          <w:sz w:val="22"/>
          <w:szCs w:val="22"/>
        </w:rPr>
        <w:t>Adicionalmente,</w:t>
      </w:r>
      <w:r w:rsidRPr="00B81A79">
        <w:rPr>
          <w:sz w:val="22"/>
          <w:szCs w:val="22"/>
        </w:rPr>
        <w:t xml:space="preserve"> desde nuestro rol de evaluación independiente, incluimos el resultado del análisis realizado a</w:t>
      </w:r>
      <w:r w:rsidRPr="00B81A79">
        <w:rPr>
          <w:rFonts w:eastAsia="Calibri"/>
          <w:sz w:val="22"/>
          <w:szCs w:val="22"/>
        </w:rPr>
        <w:t xml:space="preserve"> los</w:t>
      </w:r>
      <w:r w:rsidRPr="00B81A79">
        <w:rPr>
          <w:rFonts w:eastAsia="Calibri"/>
          <w:sz w:val="22"/>
          <w:szCs w:val="22"/>
          <w:lang w:eastAsia="en-US"/>
        </w:rPr>
        <w:t xml:space="preserve"> </w:t>
      </w:r>
      <w:r>
        <w:rPr>
          <w:rFonts w:eastAsia="Calibri"/>
          <w:sz w:val="22"/>
          <w:szCs w:val="22"/>
          <w:lang w:eastAsia="en-US"/>
        </w:rPr>
        <w:t>asuntos</w:t>
      </w:r>
      <w:r w:rsidRPr="00B81A79">
        <w:rPr>
          <w:rFonts w:eastAsia="Calibri"/>
          <w:sz w:val="22"/>
          <w:szCs w:val="22"/>
        </w:rPr>
        <w:t xml:space="preserve"> </w:t>
      </w:r>
      <w:r>
        <w:rPr>
          <w:rFonts w:eastAsia="Calibri"/>
          <w:sz w:val="22"/>
          <w:szCs w:val="22"/>
        </w:rPr>
        <w:t xml:space="preserve">priorizados como </w:t>
      </w:r>
      <w:r w:rsidRPr="00B81A79">
        <w:rPr>
          <w:rFonts w:eastAsia="Calibri"/>
          <w:sz w:val="22"/>
          <w:szCs w:val="22"/>
        </w:rPr>
        <w:t>pertinentes para la toma de acciones y decisiones de manera oportuna por parte de la administración</w:t>
      </w:r>
      <w:r>
        <w:rPr>
          <w:rFonts w:eastAsia="Calibri"/>
          <w:sz w:val="22"/>
          <w:szCs w:val="22"/>
        </w:rPr>
        <w:t>, correspondiente a aspectos:</w:t>
      </w:r>
      <w:r w:rsidRPr="00B81A79">
        <w:rPr>
          <w:rFonts w:eastAsia="Calibri"/>
          <w:sz w:val="22"/>
          <w:szCs w:val="22"/>
        </w:rPr>
        <w:t xml:space="preserve">  </w:t>
      </w:r>
    </w:p>
    <w:p w14:paraId="4239B5A2" w14:textId="77777777" w:rsidR="008F5741" w:rsidRPr="00B81A79" w:rsidRDefault="008F5741" w:rsidP="008F5741">
      <w:pPr>
        <w:rPr>
          <w:rFonts w:eastAsia="Calibri"/>
          <w:sz w:val="22"/>
          <w:szCs w:val="22"/>
        </w:rPr>
      </w:pPr>
    </w:p>
    <w:p w14:paraId="3AF9F03A" w14:textId="77777777" w:rsidR="008F5741" w:rsidRPr="003305BD" w:rsidRDefault="008F5741" w:rsidP="008F5741">
      <w:pPr>
        <w:pStyle w:val="Prrafodelista"/>
        <w:numPr>
          <w:ilvl w:val="0"/>
          <w:numId w:val="7"/>
        </w:numPr>
        <w:jc w:val="both"/>
        <w:rPr>
          <w:rFonts w:eastAsia="Calibri"/>
          <w:sz w:val="22"/>
          <w:szCs w:val="22"/>
        </w:rPr>
      </w:pPr>
      <w:r w:rsidRPr="003305BD">
        <w:rPr>
          <w:rFonts w:eastAsia="Calibri"/>
          <w:sz w:val="22"/>
          <w:szCs w:val="22"/>
        </w:rPr>
        <w:t>Administrativos</w:t>
      </w:r>
    </w:p>
    <w:p w14:paraId="2181BBE3" w14:textId="77777777" w:rsidR="008F5741" w:rsidRPr="003305BD" w:rsidRDefault="008F5741" w:rsidP="008F5741">
      <w:pPr>
        <w:pStyle w:val="Prrafodelista"/>
        <w:numPr>
          <w:ilvl w:val="0"/>
          <w:numId w:val="7"/>
        </w:numPr>
        <w:jc w:val="both"/>
        <w:rPr>
          <w:rFonts w:eastAsia="Calibri"/>
          <w:sz w:val="22"/>
          <w:szCs w:val="22"/>
        </w:rPr>
      </w:pPr>
      <w:r w:rsidRPr="003305BD">
        <w:rPr>
          <w:rFonts w:eastAsia="Calibri"/>
          <w:sz w:val="22"/>
          <w:szCs w:val="22"/>
        </w:rPr>
        <w:t>Financieros</w:t>
      </w:r>
    </w:p>
    <w:p w14:paraId="0911ACA4" w14:textId="77777777" w:rsidR="008F5741" w:rsidRPr="003305BD" w:rsidRDefault="008F5741" w:rsidP="008F5741">
      <w:pPr>
        <w:pStyle w:val="Prrafodelista"/>
        <w:numPr>
          <w:ilvl w:val="0"/>
          <w:numId w:val="7"/>
        </w:numPr>
        <w:jc w:val="both"/>
        <w:rPr>
          <w:rFonts w:eastAsia="Calibri"/>
          <w:sz w:val="22"/>
          <w:szCs w:val="22"/>
        </w:rPr>
      </w:pPr>
      <w:r w:rsidRPr="003305BD">
        <w:rPr>
          <w:rFonts w:eastAsia="Calibri"/>
          <w:sz w:val="22"/>
          <w:szCs w:val="22"/>
        </w:rPr>
        <w:t>Técnicos</w:t>
      </w:r>
    </w:p>
    <w:p w14:paraId="0618B366" w14:textId="77777777" w:rsidR="008F5741" w:rsidRDefault="008F5741" w:rsidP="008F5741">
      <w:pPr>
        <w:rPr>
          <w:sz w:val="22"/>
          <w:szCs w:val="22"/>
        </w:rPr>
      </w:pPr>
    </w:p>
    <w:p w14:paraId="7CA6FCC9" w14:textId="2C864E6C" w:rsidR="008F5741" w:rsidRDefault="008F5741" w:rsidP="008F5741">
      <w:pPr>
        <w:jc w:val="both"/>
        <w:rPr>
          <w:sz w:val="22"/>
          <w:szCs w:val="22"/>
        </w:rPr>
      </w:pPr>
      <w:r>
        <w:rPr>
          <w:sz w:val="22"/>
          <w:szCs w:val="22"/>
        </w:rPr>
        <w:t xml:space="preserve">Durante la ejecución de la auditoria </w:t>
      </w:r>
      <w:r w:rsidR="00562EE1">
        <w:rPr>
          <w:sz w:val="22"/>
          <w:szCs w:val="22"/>
        </w:rPr>
        <w:t>se realizaron reuniones</w:t>
      </w:r>
      <w:r>
        <w:rPr>
          <w:sz w:val="22"/>
          <w:szCs w:val="22"/>
        </w:rPr>
        <w:t xml:space="preserve"> con la Directora General del proyecto y el Jefe de Infraestructura física y así mismo, los resultados les fueron socializados.</w:t>
      </w:r>
    </w:p>
    <w:p w14:paraId="2D3C95B8" w14:textId="77777777" w:rsidR="008F5741" w:rsidRDefault="008F5741" w:rsidP="008F5741">
      <w:pPr>
        <w:rPr>
          <w:sz w:val="22"/>
          <w:szCs w:val="22"/>
        </w:rPr>
      </w:pPr>
    </w:p>
    <w:p w14:paraId="08488080" w14:textId="77777777" w:rsidR="008F5741" w:rsidRDefault="008F5741" w:rsidP="008F5741">
      <w:pPr>
        <w:jc w:val="both"/>
        <w:rPr>
          <w:sz w:val="22"/>
        </w:rPr>
      </w:pPr>
      <w:r>
        <w:rPr>
          <w:sz w:val="22"/>
        </w:rPr>
        <w:t xml:space="preserve">Adjunto encontrará un resumen ejecutivo y el informe detallado con </w:t>
      </w:r>
      <w:r w:rsidRPr="004C185B">
        <w:rPr>
          <w:sz w:val="22"/>
        </w:rPr>
        <w:t>los resultados obtenidos</w:t>
      </w:r>
      <w:r>
        <w:rPr>
          <w:sz w:val="22"/>
        </w:rPr>
        <w:t xml:space="preserve"> relacionando los</w:t>
      </w:r>
      <w:r w:rsidRPr="004C185B">
        <w:rPr>
          <w:sz w:val="22"/>
        </w:rPr>
        <w:t xml:space="preserve"> aspecto</w:t>
      </w:r>
      <w:r>
        <w:rPr>
          <w:sz w:val="22"/>
        </w:rPr>
        <w:t>s</w:t>
      </w:r>
      <w:r w:rsidRPr="004C185B">
        <w:rPr>
          <w:sz w:val="22"/>
        </w:rPr>
        <w:t xml:space="preserve"> evaluado</w:t>
      </w:r>
      <w:r>
        <w:rPr>
          <w:sz w:val="22"/>
        </w:rPr>
        <w:t xml:space="preserve">s </w:t>
      </w:r>
      <w:r w:rsidRPr="004C185B">
        <w:rPr>
          <w:sz w:val="22"/>
        </w:rPr>
        <w:t>y la recomendación propuesta</w:t>
      </w:r>
      <w:r>
        <w:rPr>
          <w:sz w:val="22"/>
        </w:rPr>
        <w:t>;</w:t>
      </w:r>
      <w:r w:rsidRPr="004C185B">
        <w:rPr>
          <w:sz w:val="22"/>
        </w:rPr>
        <w:t xml:space="preserve"> con el </w:t>
      </w:r>
      <w:r>
        <w:rPr>
          <w:sz w:val="22"/>
        </w:rPr>
        <w:t>fin</w:t>
      </w:r>
      <w:r w:rsidRPr="004C185B">
        <w:rPr>
          <w:sz w:val="22"/>
        </w:rPr>
        <w:t xml:space="preserve"> de </w:t>
      </w:r>
      <w:r>
        <w:rPr>
          <w:sz w:val="22"/>
        </w:rPr>
        <w:t>promover el análisis y formalizar el Plan de Mejoramiento correspondiente, determinando la pertinencia o no de las recomendaciones y de ser el caso reformularlas, estableciendo el responsable y la fecha de ejecución.</w:t>
      </w:r>
    </w:p>
    <w:p w14:paraId="60765B01" w14:textId="77777777" w:rsidR="008F5741" w:rsidRDefault="008F5741" w:rsidP="008F5741">
      <w:pPr>
        <w:jc w:val="both"/>
        <w:rPr>
          <w:sz w:val="22"/>
        </w:rPr>
      </w:pPr>
    </w:p>
    <w:p w14:paraId="378E3185" w14:textId="1E017D52" w:rsidR="008F5741" w:rsidRPr="004C185B" w:rsidRDefault="008F5741" w:rsidP="008F5741">
      <w:pPr>
        <w:spacing w:after="160" w:line="259" w:lineRule="auto"/>
        <w:jc w:val="both"/>
        <w:rPr>
          <w:sz w:val="22"/>
        </w:rPr>
      </w:pPr>
      <w:r w:rsidRPr="004C185B">
        <w:rPr>
          <w:sz w:val="22"/>
        </w:rPr>
        <w:t xml:space="preserve">Esperamos que este informe </w:t>
      </w:r>
      <w:r w:rsidR="00562EE1">
        <w:rPr>
          <w:sz w:val="22"/>
        </w:rPr>
        <w:t>contribuya como</w:t>
      </w:r>
      <w:r w:rsidRPr="004C185B">
        <w:rPr>
          <w:sz w:val="22"/>
        </w:rPr>
        <w:t xml:space="preserve"> insumo </w:t>
      </w:r>
      <w:r w:rsidR="00562EE1">
        <w:rPr>
          <w:sz w:val="22"/>
        </w:rPr>
        <w:t>a</w:t>
      </w:r>
      <w:r w:rsidRPr="004C185B">
        <w:rPr>
          <w:sz w:val="22"/>
        </w:rPr>
        <w:t xml:space="preserve"> los análisis que realiza la administración. </w:t>
      </w:r>
    </w:p>
    <w:p w14:paraId="650E9454" w14:textId="77777777" w:rsidR="008F5741" w:rsidRPr="00B81A79" w:rsidRDefault="008F5741" w:rsidP="008F5741">
      <w:pPr>
        <w:rPr>
          <w:sz w:val="22"/>
          <w:szCs w:val="22"/>
        </w:rPr>
      </w:pPr>
      <w:r w:rsidRPr="00B81A79">
        <w:rPr>
          <w:sz w:val="22"/>
          <w:szCs w:val="22"/>
        </w:rPr>
        <w:t>Quedamos atentos ante cualquier inquietud relacionada con el presente informe.</w:t>
      </w:r>
    </w:p>
    <w:p w14:paraId="7B5D529F" w14:textId="77777777" w:rsidR="008F5741" w:rsidRDefault="008F5741" w:rsidP="008F5741">
      <w:pPr>
        <w:rPr>
          <w:sz w:val="22"/>
          <w:szCs w:val="22"/>
        </w:rPr>
      </w:pPr>
    </w:p>
    <w:p w14:paraId="2F5BAB0A" w14:textId="32F2AA1B" w:rsidR="008F5741" w:rsidRDefault="008F5741" w:rsidP="008F5741">
      <w:pPr>
        <w:pStyle w:val="Sinespaciado"/>
        <w:rPr>
          <w:rFonts w:cs="Times New Roman"/>
          <w:sz w:val="22"/>
        </w:rPr>
      </w:pPr>
    </w:p>
    <w:p w14:paraId="6ABD5ED8" w14:textId="77777777" w:rsidR="008F5741" w:rsidRPr="00B81A79" w:rsidRDefault="008F5741" w:rsidP="008F5741">
      <w:pPr>
        <w:pStyle w:val="Sinespaciado"/>
        <w:rPr>
          <w:rFonts w:cs="Times New Roman"/>
          <w:vanish/>
          <w:sz w:val="22"/>
          <w:specVanish/>
        </w:rPr>
      </w:pPr>
    </w:p>
    <w:p w14:paraId="7DEC77DB" w14:textId="77777777" w:rsidR="008F5741" w:rsidRPr="00B81A79" w:rsidRDefault="008F5741" w:rsidP="008F5741">
      <w:pPr>
        <w:rPr>
          <w:sz w:val="22"/>
          <w:szCs w:val="22"/>
        </w:rPr>
      </w:pPr>
      <w:r w:rsidRPr="00B81A79">
        <w:rPr>
          <w:sz w:val="22"/>
          <w:szCs w:val="22"/>
        </w:rPr>
        <w:t>ADRIANA ASTRID ZEA CARDENAS</w:t>
      </w:r>
    </w:p>
    <w:p w14:paraId="73BF0245" w14:textId="77777777" w:rsidR="008F5741" w:rsidRPr="00B81A79" w:rsidRDefault="008F5741" w:rsidP="008F5741">
      <w:pPr>
        <w:rPr>
          <w:sz w:val="22"/>
          <w:szCs w:val="22"/>
        </w:rPr>
      </w:pPr>
      <w:r w:rsidRPr="00B81A79">
        <w:rPr>
          <w:sz w:val="22"/>
          <w:szCs w:val="22"/>
        </w:rPr>
        <w:t>Directora de Auditoría Institucional</w:t>
      </w:r>
    </w:p>
    <w:p w14:paraId="01C6F8B2" w14:textId="77777777" w:rsidR="008F5741" w:rsidRPr="00D675DA" w:rsidRDefault="008F5741" w:rsidP="008F5741">
      <w:pPr>
        <w:rPr>
          <w:sz w:val="14"/>
          <w:szCs w:val="22"/>
        </w:rPr>
      </w:pPr>
    </w:p>
    <w:p w14:paraId="493F803B" w14:textId="77777777" w:rsidR="008F5741" w:rsidRDefault="008F5741" w:rsidP="008F5741">
      <w:pPr>
        <w:rPr>
          <w:sz w:val="12"/>
          <w:szCs w:val="22"/>
        </w:rPr>
      </w:pPr>
      <w:r w:rsidRPr="003C6AF3">
        <w:rPr>
          <w:sz w:val="12"/>
          <w:szCs w:val="22"/>
        </w:rPr>
        <w:t>Elaboró: Elizabeth C</w:t>
      </w:r>
    </w:p>
    <w:p w14:paraId="242740CA" w14:textId="4F2712C8" w:rsidR="008F5741" w:rsidRDefault="008F5741" w:rsidP="008F5741">
      <w:pPr>
        <w:rPr>
          <w:sz w:val="12"/>
          <w:szCs w:val="22"/>
        </w:rPr>
      </w:pPr>
      <w:r>
        <w:rPr>
          <w:sz w:val="12"/>
          <w:szCs w:val="22"/>
        </w:rPr>
        <w:t xml:space="preserve">Asesor Especializado: Ing. </w:t>
      </w:r>
      <w:r w:rsidRPr="003C6AF3">
        <w:rPr>
          <w:sz w:val="12"/>
          <w:szCs w:val="22"/>
        </w:rPr>
        <w:t xml:space="preserve">Jaime </w:t>
      </w:r>
      <w:r>
        <w:rPr>
          <w:sz w:val="12"/>
          <w:szCs w:val="22"/>
        </w:rPr>
        <w:t>Perez</w:t>
      </w:r>
    </w:p>
    <w:p w14:paraId="29086C02" w14:textId="77777777" w:rsidR="00562EE1" w:rsidRPr="003C6AF3" w:rsidRDefault="00562EE1" w:rsidP="008F5741">
      <w:pPr>
        <w:rPr>
          <w:sz w:val="12"/>
          <w:szCs w:val="22"/>
        </w:rPr>
      </w:pPr>
    </w:p>
    <w:p w14:paraId="10ED3856" w14:textId="6CBAF386" w:rsidR="008F5741" w:rsidRPr="00E1445F" w:rsidRDefault="007B1F69" w:rsidP="008F5741">
      <w:pPr>
        <w:rPr>
          <w:b/>
          <w:bCs/>
          <w:i/>
          <w:iCs/>
          <w:color w:val="6AA84F"/>
          <w:sz w:val="28"/>
          <w:szCs w:val="22"/>
          <w:shd w:val="clear" w:color="auto" w:fill="FFFFFF"/>
        </w:rPr>
      </w:pPr>
      <w:r>
        <w:rPr>
          <w:sz w:val="18"/>
          <w:szCs w:val="22"/>
        </w:rPr>
        <w:t>Anexos: Uno (39</w:t>
      </w:r>
      <w:r w:rsidR="008F5741" w:rsidRPr="00E1445F">
        <w:rPr>
          <w:sz w:val="18"/>
          <w:szCs w:val="22"/>
        </w:rPr>
        <w:t xml:space="preserve"> hojas)</w:t>
      </w:r>
    </w:p>
    <w:p w14:paraId="7797027F" w14:textId="77777777" w:rsidR="008F5741" w:rsidRPr="00BB65F9" w:rsidRDefault="008F5741" w:rsidP="008F5741">
      <w:pPr>
        <w:sectPr w:rsidR="008F5741" w:rsidRPr="00BB65F9" w:rsidSect="00DB4BDD">
          <w:headerReference w:type="default" r:id="rId8"/>
          <w:footerReference w:type="default" r:id="rId9"/>
          <w:headerReference w:type="first" r:id="rId10"/>
          <w:footerReference w:type="first" r:id="rId11"/>
          <w:pgSz w:w="12240" w:h="15840"/>
          <w:pgMar w:top="2351" w:right="1701" w:bottom="1134" w:left="2268" w:header="227" w:footer="567" w:gutter="0"/>
          <w:cols w:space="708"/>
          <w:docGrid w:linePitch="360"/>
        </w:sectPr>
      </w:pPr>
    </w:p>
    <w:p w14:paraId="7747B85F" w14:textId="77777777" w:rsidR="008F5741" w:rsidRPr="001D36EE" w:rsidRDefault="008F5741" w:rsidP="008F5741">
      <w:pPr>
        <w:pStyle w:val="Sinespaciado"/>
        <w:tabs>
          <w:tab w:val="left" w:pos="1935"/>
          <w:tab w:val="center" w:pos="4419"/>
        </w:tabs>
        <w:jc w:val="center"/>
        <w:rPr>
          <w:rFonts w:cs="Times New Roman"/>
          <w:color w:val="385623" w:themeColor="accent6" w:themeShade="80"/>
          <w:sz w:val="22"/>
          <w:szCs w:val="24"/>
          <w:lang w:eastAsia="es-CO"/>
        </w:rPr>
      </w:pPr>
    </w:p>
    <w:sdt>
      <w:sdtPr>
        <w:rPr>
          <w:rFonts w:ascii="Times New Roman" w:eastAsia="Times New Roman" w:hAnsi="Times New Roman" w:cs="Times New Roman"/>
          <w:color w:val="auto"/>
          <w:sz w:val="20"/>
          <w:szCs w:val="20"/>
          <w:lang w:val="es-ES"/>
        </w:rPr>
        <w:id w:val="1106467002"/>
        <w:docPartObj>
          <w:docPartGallery w:val="Table of Contents"/>
          <w:docPartUnique/>
        </w:docPartObj>
      </w:sdtPr>
      <w:sdtEndPr>
        <w:rPr>
          <w:bCs/>
        </w:rPr>
      </w:sdtEndPr>
      <w:sdtContent>
        <w:p w14:paraId="157906A1" w14:textId="77777777" w:rsidR="008F5741" w:rsidRPr="00043DFF" w:rsidRDefault="008F5741" w:rsidP="008F5741">
          <w:pPr>
            <w:pStyle w:val="TtuloTDC"/>
            <w:rPr>
              <w:rFonts w:ascii="Times New Roman" w:hAnsi="Times New Roman" w:cs="Times New Roman"/>
              <w:color w:val="auto"/>
              <w:sz w:val="20"/>
              <w:szCs w:val="20"/>
              <w:lang w:val="es-ES"/>
            </w:rPr>
          </w:pPr>
          <w:r w:rsidRPr="00043DFF">
            <w:rPr>
              <w:rFonts w:ascii="Times New Roman" w:hAnsi="Times New Roman" w:cs="Times New Roman"/>
              <w:color w:val="auto"/>
              <w:sz w:val="20"/>
              <w:szCs w:val="20"/>
              <w:lang w:val="es-ES"/>
            </w:rPr>
            <w:t>Contenido</w:t>
          </w:r>
        </w:p>
        <w:p w14:paraId="5F001A8A" w14:textId="77777777" w:rsidR="008F5741" w:rsidRPr="00043DFF" w:rsidRDefault="008F5741" w:rsidP="008F5741">
          <w:pPr>
            <w:rPr>
              <w:sz w:val="20"/>
              <w:szCs w:val="20"/>
              <w:lang w:val="es-ES"/>
            </w:rPr>
          </w:pPr>
        </w:p>
        <w:p w14:paraId="1C732E83" w14:textId="5629B74F" w:rsidR="00CB5775" w:rsidRDefault="008F5741">
          <w:pPr>
            <w:pStyle w:val="TDC1"/>
            <w:rPr>
              <w:rFonts w:asciiTheme="minorHAnsi" w:eastAsiaTheme="minorEastAsia" w:hAnsiTheme="minorHAnsi" w:cstheme="minorBidi"/>
              <w:noProof/>
              <w:sz w:val="22"/>
              <w:szCs w:val="22"/>
            </w:rPr>
          </w:pPr>
          <w:r w:rsidRPr="00043DFF">
            <w:rPr>
              <w:bCs/>
              <w:sz w:val="20"/>
              <w:szCs w:val="20"/>
              <w:lang w:val="es-ES"/>
            </w:rPr>
            <w:fldChar w:fldCharType="begin"/>
          </w:r>
          <w:r w:rsidRPr="00043DFF">
            <w:rPr>
              <w:bCs/>
              <w:sz w:val="20"/>
              <w:szCs w:val="20"/>
              <w:lang w:val="es-ES"/>
            </w:rPr>
            <w:instrText xml:space="preserve"> TOC \o "1-3" \h \z \u </w:instrText>
          </w:r>
          <w:r w:rsidRPr="00043DFF">
            <w:rPr>
              <w:bCs/>
              <w:sz w:val="20"/>
              <w:szCs w:val="20"/>
              <w:lang w:val="es-ES"/>
            </w:rPr>
            <w:fldChar w:fldCharType="separate"/>
          </w:r>
          <w:hyperlink w:anchor="_Toc526516458" w:history="1">
            <w:r w:rsidR="00CB5775" w:rsidRPr="001D1BDC">
              <w:rPr>
                <w:rStyle w:val="Hipervnculo"/>
                <w:b/>
                <w:noProof/>
              </w:rPr>
              <w:t>1.</w:t>
            </w:r>
            <w:r w:rsidR="00CB5775">
              <w:rPr>
                <w:rFonts w:asciiTheme="minorHAnsi" w:eastAsiaTheme="minorEastAsia" w:hAnsiTheme="minorHAnsi" w:cstheme="minorBidi"/>
                <w:noProof/>
                <w:sz w:val="22"/>
                <w:szCs w:val="22"/>
              </w:rPr>
              <w:tab/>
            </w:r>
            <w:r w:rsidR="00CB5775" w:rsidRPr="001D1BDC">
              <w:rPr>
                <w:rStyle w:val="Hipervnculo"/>
                <w:b/>
                <w:noProof/>
              </w:rPr>
              <w:t>OBJETIVO</w:t>
            </w:r>
            <w:r w:rsidR="00CB5775">
              <w:rPr>
                <w:noProof/>
                <w:webHidden/>
              </w:rPr>
              <w:tab/>
            </w:r>
            <w:r w:rsidR="00CB5775">
              <w:rPr>
                <w:noProof/>
                <w:webHidden/>
              </w:rPr>
              <w:fldChar w:fldCharType="begin"/>
            </w:r>
            <w:r w:rsidR="00CB5775">
              <w:rPr>
                <w:noProof/>
                <w:webHidden/>
              </w:rPr>
              <w:instrText xml:space="preserve"> PAGEREF _Toc526516458 \h </w:instrText>
            </w:r>
            <w:r w:rsidR="00CB5775">
              <w:rPr>
                <w:noProof/>
                <w:webHidden/>
              </w:rPr>
            </w:r>
            <w:r w:rsidR="00CB5775">
              <w:rPr>
                <w:noProof/>
                <w:webHidden/>
              </w:rPr>
              <w:fldChar w:fldCharType="separate"/>
            </w:r>
            <w:r w:rsidR="00CB5775">
              <w:rPr>
                <w:noProof/>
                <w:webHidden/>
              </w:rPr>
              <w:t>1</w:t>
            </w:r>
            <w:r w:rsidR="00CB5775">
              <w:rPr>
                <w:noProof/>
                <w:webHidden/>
              </w:rPr>
              <w:fldChar w:fldCharType="end"/>
            </w:r>
          </w:hyperlink>
        </w:p>
        <w:p w14:paraId="09CC1509" w14:textId="5639B9D9" w:rsidR="00CB5775" w:rsidRDefault="00930973">
          <w:pPr>
            <w:pStyle w:val="TDC1"/>
            <w:rPr>
              <w:rFonts w:asciiTheme="minorHAnsi" w:eastAsiaTheme="minorEastAsia" w:hAnsiTheme="minorHAnsi" w:cstheme="minorBidi"/>
              <w:noProof/>
              <w:sz w:val="22"/>
              <w:szCs w:val="22"/>
            </w:rPr>
          </w:pPr>
          <w:hyperlink w:anchor="_Toc526516459" w:history="1">
            <w:r w:rsidR="00CB5775" w:rsidRPr="001D1BDC">
              <w:rPr>
                <w:rStyle w:val="Hipervnculo"/>
                <w:b/>
                <w:noProof/>
              </w:rPr>
              <w:t>2.</w:t>
            </w:r>
            <w:r w:rsidR="00CB5775">
              <w:rPr>
                <w:rFonts w:asciiTheme="minorHAnsi" w:eastAsiaTheme="minorEastAsia" w:hAnsiTheme="minorHAnsi" w:cstheme="minorBidi"/>
                <w:noProof/>
                <w:sz w:val="22"/>
                <w:szCs w:val="22"/>
              </w:rPr>
              <w:tab/>
            </w:r>
            <w:r w:rsidR="00CB5775" w:rsidRPr="001D1BDC">
              <w:rPr>
                <w:rStyle w:val="Hipervnculo"/>
                <w:b/>
                <w:noProof/>
              </w:rPr>
              <w:t>ALCANCE</w:t>
            </w:r>
            <w:r w:rsidR="00CB5775">
              <w:rPr>
                <w:noProof/>
                <w:webHidden/>
              </w:rPr>
              <w:tab/>
            </w:r>
            <w:r w:rsidR="00CB5775">
              <w:rPr>
                <w:noProof/>
                <w:webHidden/>
              </w:rPr>
              <w:fldChar w:fldCharType="begin"/>
            </w:r>
            <w:r w:rsidR="00CB5775">
              <w:rPr>
                <w:noProof/>
                <w:webHidden/>
              </w:rPr>
              <w:instrText xml:space="preserve"> PAGEREF _Toc526516459 \h </w:instrText>
            </w:r>
            <w:r w:rsidR="00CB5775">
              <w:rPr>
                <w:noProof/>
                <w:webHidden/>
              </w:rPr>
            </w:r>
            <w:r w:rsidR="00CB5775">
              <w:rPr>
                <w:noProof/>
                <w:webHidden/>
              </w:rPr>
              <w:fldChar w:fldCharType="separate"/>
            </w:r>
            <w:r w:rsidR="00CB5775">
              <w:rPr>
                <w:noProof/>
                <w:webHidden/>
              </w:rPr>
              <w:t>1</w:t>
            </w:r>
            <w:r w:rsidR="00CB5775">
              <w:rPr>
                <w:noProof/>
                <w:webHidden/>
              </w:rPr>
              <w:fldChar w:fldCharType="end"/>
            </w:r>
          </w:hyperlink>
        </w:p>
        <w:p w14:paraId="754FABA5" w14:textId="03CB6884" w:rsidR="00CB5775" w:rsidRDefault="00930973">
          <w:pPr>
            <w:pStyle w:val="TDC1"/>
            <w:rPr>
              <w:rFonts w:asciiTheme="minorHAnsi" w:eastAsiaTheme="minorEastAsia" w:hAnsiTheme="minorHAnsi" w:cstheme="minorBidi"/>
              <w:noProof/>
              <w:sz w:val="22"/>
              <w:szCs w:val="22"/>
            </w:rPr>
          </w:pPr>
          <w:hyperlink w:anchor="_Toc526516460" w:history="1">
            <w:r w:rsidR="00CB5775" w:rsidRPr="001D1BDC">
              <w:rPr>
                <w:rStyle w:val="Hipervnculo"/>
                <w:b/>
                <w:noProof/>
              </w:rPr>
              <w:t>3.</w:t>
            </w:r>
            <w:r w:rsidR="00CB5775">
              <w:rPr>
                <w:rFonts w:asciiTheme="minorHAnsi" w:eastAsiaTheme="minorEastAsia" w:hAnsiTheme="minorHAnsi" w:cstheme="minorBidi"/>
                <w:noProof/>
                <w:sz w:val="22"/>
                <w:szCs w:val="22"/>
              </w:rPr>
              <w:tab/>
            </w:r>
            <w:r w:rsidR="00CB5775" w:rsidRPr="001D1BDC">
              <w:rPr>
                <w:rStyle w:val="Hipervnculo"/>
                <w:b/>
                <w:noProof/>
              </w:rPr>
              <w:t>NORMATIVA</w:t>
            </w:r>
            <w:r w:rsidR="00CB5775">
              <w:rPr>
                <w:noProof/>
                <w:webHidden/>
              </w:rPr>
              <w:tab/>
            </w:r>
            <w:r w:rsidR="00CB5775">
              <w:rPr>
                <w:noProof/>
                <w:webHidden/>
              </w:rPr>
              <w:fldChar w:fldCharType="begin"/>
            </w:r>
            <w:r w:rsidR="00CB5775">
              <w:rPr>
                <w:noProof/>
                <w:webHidden/>
              </w:rPr>
              <w:instrText xml:space="preserve"> PAGEREF _Toc526516460 \h </w:instrText>
            </w:r>
            <w:r w:rsidR="00CB5775">
              <w:rPr>
                <w:noProof/>
                <w:webHidden/>
              </w:rPr>
            </w:r>
            <w:r w:rsidR="00CB5775">
              <w:rPr>
                <w:noProof/>
                <w:webHidden/>
              </w:rPr>
              <w:fldChar w:fldCharType="separate"/>
            </w:r>
            <w:r w:rsidR="00CB5775">
              <w:rPr>
                <w:noProof/>
                <w:webHidden/>
              </w:rPr>
              <w:t>1</w:t>
            </w:r>
            <w:r w:rsidR="00CB5775">
              <w:rPr>
                <w:noProof/>
                <w:webHidden/>
              </w:rPr>
              <w:fldChar w:fldCharType="end"/>
            </w:r>
          </w:hyperlink>
        </w:p>
        <w:p w14:paraId="0C78CDAF" w14:textId="13591FDF" w:rsidR="00CB5775" w:rsidRDefault="00930973">
          <w:pPr>
            <w:pStyle w:val="TDC1"/>
            <w:rPr>
              <w:rFonts w:asciiTheme="minorHAnsi" w:eastAsiaTheme="minorEastAsia" w:hAnsiTheme="minorHAnsi" w:cstheme="minorBidi"/>
              <w:noProof/>
              <w:sz w:val="22"/>
              <w:szCs w:val="22"/>
            </w:rPr>
          </w:pPr>
          <w:hyperlink w:anchor="_Toc526516461" w:history="1">
            <w:r w:rsidR="00CB5775" w:rsidRPr="001D1BDC">
              <w:rPr>
                <w:rStyle w:val="Hipervnculo"/>
                <w:b/>
                <w:noProof/>
              </w:rPr>
              <w:t>4.</w:t>
            </w:r>
            <w:r w:rsidR="00CB5775">
              <w:rPr>
                <w:rFonts w:asciiTheme="minorHAnsi" w:eastAsiaTheme="minorEastAsia" w:hAnsiTheme="minorHAnsi" w:cstheme="minorBidi"/>
                <w:noProof/>
                <w:sz w:val="22"/>
                <w:szCs w:val="22"/>
              </w:rPr>
              <w:tab/>
            </w:r>
            <w:r w:rsidR="00CB5775" w:rsidRPr="001D1BDC">
              <w:rPr>
                <w:rStyle w:val="Hipervnculo"/>
                <w:b/>
                <w:noProof/>
              </w:rPr>
              <w:t>METODOLOGÍA</w:t>
            </w:r>
            <w:r w:rsidR="00CB5775">
              <w:rPr>
                <w:noProof/>
                <w:webHidden/>
              </w:rPr>
              <w:tab/>
            </w:r>
            <w:r w:rsidR="00CB5775">
              <w:rPr>
                <w:noProof/>
                <w:webHidden/>
              </w:rPr>
              <w:fldChar w:fldCharType="begin"/>
            </w:r>
            <w:r w:rsidR="00CB5775">
              <w:rPr>
                <w:noProof/>
                <w:webHidden/>
              </w:rPr>
              <w:instrText xml:space="preserve"> PAGEREF _Toc526516461 \h </w:instrText>
            </w:r>
            <w:r w:rsidR="00CB5775">
              <w:rPr>
                <w:noProof/>
                <w:webHidden/>
              </w:rPr>
            </w:r>
            <w:r w:rsidR="00CB5775">
              <w:rPr>
                <w:noProof/>
                <w:webHidden/>
              </w:rPr>
              <w:fldChar w:fldCharType="separate"/>
            </w:r>
            <w:r w:rsidR="00CB5775">
              <w:rPr>
                <w:noProof/>
                <w:webHidden/>
              </w:rPr>
              <w:t>2</w:t>
            </w:r>
            <w:r w:rsidR="00CB5775">
              <w:rPr>
                <w:noProof/>
                <w:webHidden/>
              </w:rPr>
              <w:fldChar w:fldCharType="end"/>
            </w:r>
          </w:hyperlink>
        </w:p>
        <w:p w14:paraId="1177660E" w14:textId="5EA155AA" w:rsidR="00CB5775" w:rsidRDefault="00930973">
          <w:pPr>
            <w:pStyle w:val="TDC1"/>
            <w:rPr>
              <w:rFonts w:asciiTheme="minorHAnsi" w:eastAsiaTheme="minorEastAsia" w:hAnsiTheme="minorHAnsi" w:cstheme="minorBidi"/>
              <w:noProof/>
              <w:sz w:val="22"/>
              <w:szCs w:val="22"/>
            </w:rPr>
          </w:pPr>
          <w:hyperlink w:anchor="_Toc526516462" w:history="1">
            <w:r w:rsidR="00CB5775" w:rsidRPr="001D1BDC">
              <w:rPr>
                <w:rStyle w:val="Hipervnculo"/>
                <w:b/>
                <w:noProof/>
              </w:rPr>
              <w:t>5.</w:t>
            </w:r>
            <w:r w:rsidR="00CB5775">
              <w:rPr>
                <w:rFonts w:asciiTheme="minorHAnsi" w:eastAsiaTheme="minorEastAsia" w:hAnsiTheme="minorHAnsi" w:cstheme="minorBidi"/>
                <w:noProof/>
                <w:sz w:val="22"/>
                <w:szCs w:val="22"/>
              </w:rPr>
              <w:tab/>
            </w:r>
            <w:r w:rsidR="00CB5775" w:rsidRPr="001D1BDC">
              <w:rPr>
                <w:rStyle w:val="Hipervnculo"/>
                <w:b/>
                <w:noProof/>
              </w:rPr>
              <w:t>ANTECEDENTES</w:t>
            </w:r>
            <w:r w:rsidR="00CB5775">
              <w:rPr>
                <w:noProof/>
                <w:webHidden/>
              </w:rPr>
              <w:tab/>
            </w:r>
            <w:r w:rsidR="00CB5775">
              <w:rPr>
                <w:noProof/>
                <w:webHidden/>
              </w:rPr>
              <w:fldChar w:fldCharType="begin"/>
            </w:r>
            <w:r w:rsidR="00CB5775">
              <w:rPr>
                <w:noProof/>
                <w:webHidden/>
              </w:rPr>
              <w:instrText xml:space="preserve"> PAGEREF _Toc526516462 \h </w:instrText>
            </w:r>
            <w:r w:rsidR="00CB5775">
              <w:rPr>
                <w:noProof/>
                <w:webHidden/>
              </w:rPr>
            </w:r>
            <w:r w:rsidR="00CB5775">
              <w:rPr>
                <w:noProof/>
                <w:webHidden/>
              </w:rPr>
              <w:fldChar w:fldCharType="separate"/>
            </w:r>
            <w:r w:rsidR="00CB5775">
              <w:rPr>
                <w:noProof/>
                <w:webHidden/>
              </w:rPr>
              <w:t>2</w:t>
            </w:r>
            <w:r w:rsidR="00CB5775">
              <w:rPr>
                <w:noProof/>
                <w:webHidden/>
              </w:rPr>
              <w:fldChar w:fldCharType="end"/>
            </w:r>
          </w:hyperlink>
        </w:p>
        <w:p w14:paraId="2C92D265" w14:textId="009A6250" w:rsidR="00CB5775" w:rsidRDefault="00930973">
          <w:pPr>
            <w:pStyle w:val="TDC1"/>
            <w:rPr>
              <w:rFonts w:asciiTheme="minorHAnsi" w:eastAsiaTheme="minorEastAsia" w:hAnsiTheme="minorHAnsi" w:cstheme="minorBidi"/>
              <w:noProof/>
              <w:sz w:val="22"/>
              <w:szCs w:val="22"/>
            </w:rPr>
          </w:pPr>
          <w:hyperlink w:anchor="_Toc526516463" w:history="1">
            <w:r w:rsidR="00CB5775" w:rsidRPr="001D1BDC">
              <w:rPr>
                <w:rStyle w:val="Hipervnculo"/>
                <w:b/>
                <w:noProof/>
              </w:rPr>
              <w:t>6.</w:t>
            </w:r>
            <w:r w:rsidR="00CB5775">
              <w:rPr>
                <w:rFonts w:asciiTheme="minorHAnsi" w:eastAsiaTheme="minorEastAsia" w:hAnsiTheme="minorHAnsi" w:cstheme="minorBidi"/>
                <w:noProof/>
                <w:sz w:val="22"/>
                <w:szCs w:val="22"/>
              </w:rPr>
              <w:tab/>
            </w:r>
            <w:r w:rsidR="00CB5775" w:rsidRPr="001D1BDC">
              <w:rPr>
                <w:rStyle w:val="Hipervnculo"/>
                <w:b/>
                <w:noProof/>
              </w:rPr>
              <w:t>RESULTADOS DEL ANÁLISIS REALIZADO</w:t>
            </w:r>
            <w:r w:rsidR="00CB5775">
              <w:rPr>
                <w:noProof/>
                <w:webHidden/>
              </w:rPr>
              <w:tab/>
            </w:r>
            <w:r w:rsidR="00CB5775">
              <w:rPr>
                <w:noProof/>
                <w:webHidden/>
              </w:rPr>
              <w:fldChar w:fldCharType="begin"/>
            </w:r>
            <w:r w:rsidR="00CB5775">
              <w:rPr>
                <w:noProof/>
                <w:webHidden/>
              </w:rPr>
              <w:instrText xml:space="preserve"> PAGEREF _Toc526516463 \h </w:instrText>
            </w:r>
            <w:r w:rsidR="00CB5775">
              <w:rPr>
                <w:noProof/>
                <w:webHidden/>
              </w:rPr>
            </w:r>
            <w:r w:rsidR="00CB5775">
              <w:rPr>
                <w:noProof/>
                <w:webHidden/>
              </w:rPr>
              <w:fldChar w:fldCharType="separate"/>
            </w:r>
            <w:r w:rsidR="00CB5775">
              <w:rPr>
                <w:noProof/>
                <w:webHidden/>
              </w:rPr>
              <w:t>4</w:t>
            </w:r>
            <w:r w:rsidR="00CB5775">
              <w:rPr>
                <w:noProof/>
                <w:webHidden/>
              </w:rPr>
              <w:fldChar w:fldCharType="end"/>
            </w:r>
          </w:hyperlink>
        </w:p>
        <w:p w14:paraId="179E4615" w14:textId="200324C3" w:rsidR="00CB5775" w:rsidRDefault="00930973">
          <w:pPr>
            <w:pStyle w:val="TDC2"/>
            <w:tabs>
              <w:tab w:val="left" w:pos="880"/>
              <w:tab w:val="right" w:leader="dot" w:pos="8921"/>
            </w:tabs>
            <w:rPr>
              <w:rFonts w:asciiTheme="minorHAnsi" w:eastAsiaTheme="minorEastAsia" w:hAnsiTheme="minorHAnsi" w:cstheme="minorBidi"/>
              <w:noProof/>
              <w:sz w:val="22"/>
              <w:szCs w:val="22"/>
            </w:rPr>
          </w:pPr>
          <w:hyperlink w:anchor="_Toc526516464" w:history="1">
            <w:r w:rsidR="00CB5775" w:rsidRPr="001D1BDC">
              <w:rPr>
                <w:rStyle w:val="Hipervnculo"/>
                <w:rFonts w:eastAsia="Calibri"/>
                <w:b/>
                <w:noProof/>
              </w:rPr>
              <w:t>6.1.</w:t>
            </w:r>
            <w:r w:rsidR="00CB5775">
              <w:rPr>
                <w:rFonts w:asciiTheme="minorHAnsi" w:eastAsiaTheme="minorEastAsia" w:hAnsiTheme="minorHAnsi" w:cstheme="minorBidi"/>
                <w:noProof/>
                <w:sz w:val="22"/>
                <w:szCs w:val="22"/>
              </w:rPr>
              <w:tab/>
            </w:r>
            <w:r w:rsidR="00CB5775" w:rsidRPr="001D1BDC">
              <w:rPr>
                <w:rStyle w:val="Hipervnculo"/>
                <w:rFonts w:eastAsia="Calibri"/>
                <w:b/>
                <w:noProof/>
              </w:rPr>
              <w:t>Aspectos Administrativos</w:t>
            </w:r>
            <w:r w:rsidR="00CB5775">
              <w:rPr>
                <w:noProof/>
                <w:webHidden/>
              </w:rPr>
              <w:tab/>
            </w:r>
            <w:r w:rsidR="00CB5775">
              <w:rPr>
                <w:noProof/>
                <w:webHidden/>
              </w:rPr>
              <w:fldChar w:fldCharType="begin"/>
            </w:r>
            <w:r w:rsidR="00CB5775">
              <w:rPr>
                <w:noProof/>
                <w:webHidden/>
              </w:rPr>
              <w:instrText xml:space="preserve"> PAGEREF _Toc526516464 \h </w:instrText>
            </w:r>
            <w:r w:rsidR="00CB5775">
              <w:rPr>
                <w:noProof/>
                <w:webHidden/>
              </w:rPr>
            </w:r>
            <w:r w:rsidR="00CB5775">
              <w:rPr>
                <w:noProof/>
                <w:webHidden/>
              </w:rPr>
              <w:fldChar w:fldCharType="separate"/>
            </w:r>
            <w:r w:rsidR="00CB5775">
              <w:rPr>
                <w:noProof/>
                <w:webHidden/>
              </w:rPr>
              <w:t>4</w:t>
            </w:r>
            <w:r w:rsidR="00CB5775">
              <w:rPr>
                <w:noProof/>
                <w:webHidden/>
              </w:rPr>
              <w:fldChar w:fldCharType="end"/>
            </w:r>
          </w:hyperlink>
        </w:p>
        <w:p w14:paraId="2DF361DB" w14:textId="2CC865E3" w:rsidR="00CB5775" w:rsidRDefault="00930973">
          <w:pPr>
            <w:pStyle w:val="TDC3"/>
            <w:rPr>
              <w:rFonts w:asciiTheme="minorHAnsi" w:eastAsiaTheme="minorEastAsia" w:hAnsiTheme="minorHAnsi" w:cstheme="minorBidi"/>
              <w:noProof/>
              <w:sz w:val="22"/>
              <w:szCs w:val="22"/>
            </w:rPr>
          </w:pPr>
          <w:hyperlink w:anchor="_Toc526516465" w:history="1">
            <w:r w:rsidR="00CB5775" w:rsidRPr="001D1BDC">
              <w:rPr>
                <w:rStyle w:val="Hipervnculo"/>
                <w:b/>
                <w:noProof/>
              </w:rPr>
              <w:t>6.1.1.</w:t>
            </w:r>
            <w:r w:rsidR="00CB5775">
              <w:rPr>
                <w:rFonts w:asciiTheme="minorHAnsi" w:eastAsiaTheme="minorEastAsia" w:hAnsiTheme="minorHAnsi" w:cstheme="minorBidi"/>
                <w:noProof/>
                <w:sz w:val="22"/>
                <w:szCs w:val="22"/>
              </w:rPr>
              <w:tab/>
            </w:r>
            <w:r w:rsidR="00CB5775" w:rsidRPr="001D1BDC">
              <w:rPr>
                <w:rStyle w:val="Hipervnculo"/>
                <w:b/>
                <w:noProof/>
              </w:rPr>
              <w:t>Actos administrativos</w:t>
            </w:r>
            <w:r w:rsidR="00CB5775">
              <w:rPr>
                <w:noProof/>
                <w:webHidden/>
              </w:rPr>
              <w:tab/>
            </w:r>
            <w:r w:rsidR="00CB5775">
              <w:rPr>
                <w:noProof/>
                <w:webHidden/>
              </w:rPr>
              <w:fldChar w:fldCharType="begin"/>
            </w:r>
            <w:r w:rsidR="00CB5775">
              <w:rPr>
                <w:noProof/>
                <w:webHidden/>
              </w:rPr>
              <w:instrText xml:space="preserve"> PAGEREF _Toc526516465 \h </w:instrText>
            </w:r>
            <w:r w:rsidR="00CB5775">
              <w:rPr>
                <w:noProof/>
                <w:webHidden/>
              </w:rPr>
            </w:r>
            <w:r w:rsidR="00CB5775">
              <w:rPr>
                <w:noProof/>
                <w:webHidden/>
              </w:rPr>
              <w:fldChar w:fldCharType="separate"/>
            </w:r>
            <w:r w:rsidR="00CB5775">
              <w:rPr>
                <w:noProof/>
                <w:webHidden/>
              </w:rPr>
              <w:t>4</w:t>
            </w:r>
            <w:r w:rsidR="00CB5775">
              <w:rPr>
                <w:noProof/>
                <w:webHidden/>
              </w:rPr>
              <w:fldChar w:fldCharType="end"/>
            </w:r>
          </w:hyperlink>
        </w:p>
        <w:p w14:paraId="6CFDDA4F" w14:textId="3FB6D24B" w:rsidR="00CB5775" w:rsidRDefault="00930973">
          <w:pPr>
            <w:pStyle w:val="TDC3"/>
            <w:rPr>
              <w:rFonts w:asciiTheme="minorHAnsi" w:eastAsiaTheme="minorEastAsia" w:hAnsiTheme="minorHAnsi" w:cstheme="minorBidi"/>
              <w:noProof/>
              <w:sz w:val="22"/>
              <w:szCs w:val="22"/>
            </w:rPr>
          </w:pPr>
          <w:hyperlink w:anchor="_Toc526516466" w:history="1">
            <w:r w:rsidR="00CB5775" w:rsidRPr="001D1BDC">
              <w:rPr>
                <w:rStyle w:val="Hipervnculo"/>
                <w:b/>
                <w:noProof/>
              </w:rPr>
              <w:t>6.1.2.</w:t>
            </w:r>
            <w:r w:rsidR="00CB5775">
              <w:rPr>
                <w:rFonts w:asciiTheme="minorHAnsi" w:eastAsiaTheme="minorEastAsia" w:hAnsiTheme="minorHAnsi" w:cstheme="minorBidi"/>
                <w:noProof/>
                <w:sz w:val="22"/>
                <w:szCs w:val="22"/>
              </w:rPr>
              <w:tab/>
            </w:r>
            <w:r w:rsidR="00CB5775" w:rsidRPr="001D1BDC">
              <w:rPr>
                <w:rStyle w:val="Hipervnculo"/>
                <w:b/>
                <w:noProof/>
              </w:rPr>
              <w:t>Unidades que conforman el Proyecto</w:t>
            </w:r>
            <w:r w:rsidR="00CB5775">
              <w:rPr>
                <w:noProof/>
                <w:webHidden/>
              </w:rPr>
              <w:tab/>
            </w:r>
            <w:r w:rsidR="00CB5775">
              <w:rPr>
                <w:noProof/>
                <w:webHidden/>
              </w:rPr>
              <w:fldChar w:fldCharType="begin"/>
            </w:r>
            <w:r w:rsidR="00CB5775">
              <w:rPr>
                <w:noProof/>
                <w:webHidden/>
              </w:rPr>
              <w:instrText xml:space="preserve"> PAGEREF _Toc526516466 \h </w:instrText>
            </w:r>
            <w:r w:rsidR="00CB5775">
              <w:rPr>
                <w:noProof/>
                <w:webHidden/>
              </w:rPr>
            </w:r>
            <w:r w:rsidR="00CB5775">
              <w:rPr>
                <w:noProof/>
                <w:webHidden/>
              </w:rPr>
              <w:fldChar w:fldCharType="separate"/>
            </w:r>
            <w:r w:rsidR="00CB5775">
              <w:rPr>
                <w:noProof/>
                <w:webHidden/>
              </w:rPr>
              <w:t>5</w:t>
            </w:r>
            <w:r w:rsidR="00CB5775">
              <w:rPr>
                <w:noProof/>
                <w:webHidden/>
              </w:rPr>
              <w:fldChar w:fldCharType="end"/>
            </w:r>
          </w:hyperlink>
        </w:p>
        <w:p w14:paraId="61ACFB0A" w14:textId="3BBAC0AA" w:rsidR="00CB5775" w:rsidRDefault="00930973">
          <w:pPr>
            <w:pStyle w:val="TDC3"/>
            <w:rPr>
              <w:rFonts w:asciiTheme="minorHAnsi" w:eastAsiaTheme="minorEastAsia" w:hAnsiTheme="minorHAnsi" w:cstheme="minorBidi"/>
              <w:noProof/>
              <w:sz w:val="22"/>
              <w:szCs w:val="22"/>
            </w:rPr>
          </w:pPr>
          <w:hyperlink w:anchor="_Toc526516467" w:history="1">
            <w:r w:rsidR="00CB5775" w:rsidRPr="001D1BDC">
              <w:rPr>
                <w:rStyle w:val="Hipervnculo"/>
                <w:b/>
                <w:noProof/>
              </w:rPr>
              <w:t>6.1.3.</w:t>
            </w:r>
            <w:r w:rsidR="00CB5775">
              <w:rPr>
                <w:rFonts w:asciiTheme="minorHAnsi" w:eastAsiaTheme="minorEastAsia" w:hAnsiTheme="minorHAnsi" w:cstheme="minorBidi"/>
                <w:noProof/>
                <w:sz w:val="22"/>
                <w:szCs w:val="22"/>
              </w:rPr>
              <w:tab/>
            </w:r>
            <w:r w:rsidR="00CB5775" w:rsidRPr="001D1BDC">
              <w:rPr>
                <w:rStyle w:val="Hipervnculo"/>
                <w:b/>
                <w:noProof/>
              </w:rPr>
              <w:t>Estructura del proyecto e interventoría</w:t>
            </w:r>
            <w:r w:rsidR="00CB5775">
              <w:rPr>
                <w:noProof/>
                <w:webHidden/>
              </w:rPr>
              <w:tab/>
            </w:r>
            <w:r w:rsidR="00CB5775">
              <w:rPr>
                <w:noProof/>
                <w:webHidden/>
              </w:rPr>
              <w:fldChar w:fldCharType="begin"/>
            </w:r>
            <w:r w:rsidR="00CB5775">
              <w:rPr>
                <w:noProof/>
                <w:webHidden/>
              </w:rPr>
              <w:instrText xml:space="preserve"> PAGEREF _Toc526516467 \h </w:instrText>
            </w:r>
            <w:r w:rsidR="00CB5775">
              <w:rPr>
                <w:noProof/>
                <w:webHidden/>
              </w:rPr>
            </w:r>
            <w:r w:rsidR="00CB5775">
              <w:rPr>
                <w:noProof/>
                <w:webHidden/>
              </w:rPr>
              <w:fldChar w:fldCharType="separate"/>
            </w:r>
            <w:r w:rsidR="00CB5775">
              <w:rPr>
                <w:noProof/>
                <w:webHidden/>
              </w:rPr>
              <w:t>6</w:t>
            </w:r>
            <w:r w:rsidR="00CB5775">
              <w:rPr>
                <w:noProof/>
                <w:webHidden/>
              </w:rPr>
              <w:fldChar w:fldCharType="end"/>
            </w:r>
          </w:hyperlink>
        </w:p>
        <w:p w14:paraId="44278FAA" w14:textId="08DC8BDB" w:rsidR="00CB5775" w:rsidRDefault="00930973">
          <w:pPr>
            <w:pStyle w:val="TDC3"/>
            <w:rPr>
              <w:rFonts w:asciiTheme="minorHAnsi" w:eastAsiaTheme="minorEastAsia" w:hAnsiTheme="minorHAnsi" w:cstheme="minorBidi"/>
              <w:noProof/>
              <w:sz w:val="22"/>
              <w:szCs w:val="22"/>
            </w:rPr>
          </w:pPr>
          <w:hyperlink w:anchor="_Toc526516468" w:history="1">
            <w:r w:rsidR="00CB5775" w:rsidRPr="001D1BDC">
              <w:rPr>
                <w:rStyle w:val="Hipervnculo"/>
                <w:b/>
                <w:noProof/>
              </w:rPr>
              <w:t>6.1.4.</w:t>
            </w:r>
            <w:r w:rsidR="00CB5775">
              <w:rPr>
                <w:rFonts w:asciiTheme="minorHAnsi" w:eastAsiaTheme="minorEastAsia" w:hAnsiTheme="minorHAnsi" w:cstheme="minorBidi"/>
                <w:noProof/>
                <w:sz w:val="22"/>
                <w:szCs w:val="22"/>
              </w:rPr>
              <w:tab/>
            </w:r>
            <w:r w:rsidR="00CB5775" w:rsidRPr="001D1BDC">
              <w:rPr>
                <w:rStyle w:val="Hipervnculo"/>
                <w:b/>
                <w:noProof/>
              </w:rPr>
              <w:t>Comités del proyecto</w:t>
            </w:r>
            <w:r w:rsidR="00CB5775">
              <w:rPr>
                <w:noProof/>
                <w:webHidden/>
              </w:rPr>
              <w:tab/>
            </w:r>
            <w:r w:rsidR="00CB5775">
              <w:rPr>
                <w:noProof/>
                <w:webHidden/>
              </w:rPr>
              <w:fldChar w:fldCharType="begin"/>
            </w:r>
            <w:r w:rsidR="00CB5775">
              <w:rPr>
                <w:noProof/>
                <w:webHidden/>
              </w:rPr>
              <w:instrText xml:space="preserve"> PAGEREF _Toc526516468 \h </w:instrText>
            </w:r>
            <w:r w:rsidR="00CB5775">
              <w:rPr>
                <w:noProof/>
                <w:webHidden/>
              </w:rPr>
            </w:r>
            <w:r w:rsidR="00CB5775">
              <w:rPr>
                <w:noProof/>
                <w:webHidden/>
              </w:rPr>
              <w:fldChar w:fldCharType="separate"/>
            </w:r>
            <w:r w:rsidR="00CB5775">
              <w:rPr>
                <w:noProof/>
                <w:webHidden/>
              </w:rPr>
              <w:t>8</w:t>
            </w:r>
            <w:r w:rsidR="00CB5775">
              <w:rPr>
                <w:noProof/>
                <w:webHidden/>
              </w:rPr>
              <w:fldChar w:fldCharType="end"/>
            </w:r>
          </w:hyperlink>
        </w:p>
        <w:p w14:paraId="3CBF4F37" w14:textId="722CB36E" w:rsidR="00CB5775" w:rsidRDefault="00930973">
          <w:pPr>
            <w:pStyle w:val="TDC3"/>
            <w:rPr>
              <w:rFonts w:asciiTheme="minorHAnsi" w:eastAsiaTheme="minorEastAsia" w:hAnsiTheme="minorHAnsi" w:cstheme="minorBidi"/>
              <w:noProof/>
              <w:sz w:val="22"/>
              <w:szCs w:val="22"/>
            </w:rPr>
          </w:pPr>
          <w:hyperlink w:anchor="_Toc526516469" w:history="1">
            <w:r w:rsidR="00CB5775" w:rsidRPr="001D1BDC">
              <w:rPr>
                <w:rStyle w:val="Hipervnculo"/>
                <w:b/>
                <w:noProof/>
              </w:rPr>
              <w:t>6.1.5.</w:t>
            </w:r>
            <w:r w:rsidR="00CB5775">
              <w:rPr>
                <w:rFonts w:asciiTheme="minorHAnsi" w:eastAsiaTheme="minorEastAsia" w:hAnsiTheme="minorHAnsi" w:cstheme="minorBidi"/>
                <w:noProof/>
                <w:sz w:val="22"/>
                <w:szCs w:val="22"/>
              </w:rPr>
              <w:tab/>
            </w:r>
            <w:r w:rsidR="00CB5775" w:rsidRPr="001D1BDC">
              <w:rPr>
                <w:rStyle w:val="Hipervnculo"/>
                <w:b/>
                <w:noProof/>
              </w:rPr>
              <w:t>Información de empalme unidad de proyectos especiales</w:t>
            </w:r>
            <w:r w:rsidR="00CB5775">
              <w:rPr>
                <w:noProof/>
                <w:webHidden/>
              </w:rPr>
              <w:tab/>
            </w:r>
            <w:r w:rsidR="00CB5775">
              <w:rPr>
                <w:noProof/>
                <w:webHidden/>
              </w:rPr>
              <w:fldChar w:fldCharType="begin"/>
            </w:r>
            <w:r w:rsidR="00CB5775">
              <w:rPr>
                <w:noProof/>
                <w:webHidden/>
              </w:rPr>
              <w:instrText xml:space="preserve"> PAGEREF _Toc526516469 \h </w:instrText>
            </w:r>
            <w:r w:rsidR="00CB5775">
              <w:rPr>
                <w:noProof/>
                <w:webHidden/>
              </w:rPr>
            </w:r>
            <w:r w:rsidR="00CB5775">
              <w:rPr>
                <w:noProof/>
                <w:webHidden/>
              </w:rPr>
              <w:fldChar w:fldCharType="separate"/>
            </w:r>
            <w:r w:rsidR="00CB5775">
              <w:rPr>
                <w:noProof/>
                <w:webHidden/>
              </w:rPr>
              <w:t>10</w:t>
            </w:r>
            <w:r w:rsidR="00CB5775">
              <w:rPr>
                <w:noProof/>
                <w:webHidden/>
              </w:rPr>
              <w:fldChar w:fldCharType="end"/>
            </w:r>
          </w:hyperlink>
        </w:p>
        <w:p w14:paraId="124EBE62" w14:textId="4707E290" w:rsidR="00CB5775" w:rsidRDefault="00930973">
          <w:pPr>
            <w:pStyle w:val="TDC3"/>
            <w:rPr>
              <w:rFonts w:asciiTheme="minorHAnsi" w:eastAsiaTheme="minorEastAsia" w:hAnsiTheme="minorHAnsi" w:cstheme="minorBidi"/>
              <w:noProof/>
              <w:sz w:val="22"/>
              <w:szCs w:val="22"/>
            </w:rPr>
          </w:pPr>
          <w:hyperlink w:anchor="_Toc526516470" w:history="1">
            <w:r w:rsidR="00CB5775" w:rsidRPr="001D1BDC">
              <w:rPr>
                <w:rStyle w:val="Hipervnculo"/>
                <w:b/>
                <w:iCs/>
                <w:noProof/>
              </w:rPr>
              <w:t>6.1.6.</w:t>
            </w:r>
            <w:r w:rsidR="00CB5775">
              <w:rPr>
                <w:rFonts w:asciiTheme="minorHAnsi" w:eastAsiaTheme="minorEastAsia" w:hAnsiTheme="minorHAnsi" w:cstheme="minorBidi"/>
                <w:noProof/>
                <w:sz w:val="22"/>
                <w:szCs w:val="22"/>
              </w:rPr>
              <w:tab/>
            </w:r>
            <w:r w:rsidR="00CB5775" w:rsidRPr="001D1BDC">
              <w:rPr>
                <w:rStyle w:val="Hipervnculo"/>
                <w:b/>
                <w:noProof/>
              </w:rPr>
              <w:t>Estado de los contratos relacionados con el proyecto</w:t>
            </w:r>
            <w:r w:rsidR="00CB5775">
              <w:rPr>
                <w:noProof/>
                <w:webHidden/>
              </w:rPr>
              <w:tab/>
            </w:r>
            <w:r w:rsidR="00CB5775">
              <w:rPr>
                <w:noProof/>
                <w:webHidden/>
              </w:rPr>
              <w:fldChar w:fldCharType="begin"/>
            </w:r>
            <w:r w:rsidR="00CB5775">
              <w:rPr>
                <w:noProof/>
                <w:webHidden/>
              </w:rPr>
              <w:instrText xml:space="preserve"> PAGEREF _Toc526516470 \h </w:instrText>
            </w:r>
            <w:r w:rsidR="00CB5775">
              <w:rPr>
                <w:noProof/>
                <w:webHidden/>
              </w:rPr>
            </w:r>
            <w:r w:rsidR="00CB5775">
              <w:rPr>
                <w:noProof/>
                <w:webHidden/>
              </w:rPr>
              <w:fldChar w:fldCharType="separate"/>
            </w:r>
            <w:r w:rsidR="00CB5775">
              <w:rPr>
                <w:noProof/>
                <w:webHidden/>
              </w:rPr>
              <w:t>10</w:t>
            </w:r>
            <w:r w:rsidR="00CB5775">
              <w:rPr>
                <w:noProof/>
                <w:webHidden/>
              </w:rPr>
              <w:fldChar w:fldCharType="end"/>
            </w:r>
          </w:hyperlink>
        </w:p>
        <w:p w14:paraId="71EA816D" w14:textId="6CB8C991" w:rsidR="00CB5775" w:rsidRDefault="00930973">
          <w:pPr>
            <w:pStyle w:val="TDC3"/>
            <w:rPr>
              <w:rFonts w:asciiTheme="minorHAnsi" w:eastAsiaTheme="minorEastAsia" w:hAnsiTheme="minorHAnsi" w:cstheme="minorBidi"/>
              <w:noProof/>
              <w:sz w:val="22"/>
              <w:szCs w:val="22"/>
            </w:rPr>
          </w:pPr>
          <w:hyperlink w:anchor="_Toc526516471" w:history="1">
            <w:r w:rsidR="00CB5775" w:rsidRPr="001D1BDC">
              <w:rPr>
                <w:rStyle w:val="Hipervnculo"/>
                <w:b/>
                <w:noProof/>
              </w:rPr>
              <w:t>6.2</w:t>
            </w:r>
            <w:r w:rsidR="00CB5775">
              <w:rPr>
                <w:rFonts w:asciiTheme="minorHAnsi" w:eastAsiaTheme="minorEastAsia" w:hAnsiTheme="minorHAnsi" w:cstheme="minorBidi"/>
                <w:noProof/>
                <w:sz w:val="22"/>
                <w:szCs w:val="22"/>
              </w:rPr>
              <w:tab/>
            </w:r>
            <w:r w:rsidR="00CB5775" w:rsidRPr="001D1BDC">
              <w:rPr>
                <w:rStyle w:val="Hipervnculo"/>
                <w:b/>
                <w:noProof/>
              </w:rPr>
              <w:t>Aspectos Financieros</w:t>
            </w:r>
            <w:r w:rsidR="00CB5775">
              <w:rPr>
                <w:noProof/>
                <w:webHidden/>
              </w:rPr>
              <w:tab/>
            </w:r>
            <w:r w:rsidR="00CB5775">
              <w:rPr>
                <w:noProof/>
                <w:webHidden/>
              </w:rPr>
              <w:fldChar w:fldCharType="begin"/>
            </w:r>
            <w:r w:rsidR="00CB5775">
              <w:rPr>
                <w:noProof/>
                <w:webHidden/>
              </w:rPr>
              <w:instrText xml:space="preserve"> PAGEREF _Toc526516471 \h </w:instrText>
            </w:r>
            <w:r w:rsidR="00CB5775">
              <w:rPr>
                <w:noProof/>
                <w:webHidden/>
              </w:rPr>
            </w:r>
            <w:r w:rsidR="00CB5775">
              <w:rPr>
                <w:noProof/>
                <w:webHidden/>
              </w:rPr>
              <w:fldChar w:fldCharType="separate"/>
            </w:r>
            <w:r w:rsidR="00CB5775">
              <w:rPr>
                <w:noProof/>
                <w:webHidden/>
              </w:rPr>
              <w:t>17</w:t>
            </w:r>
            <w:r w:rsidR="00CB5775">
              <w:rPr>
                <w:noProof/>
                <w:webHidden/>
              </w:rPr>
              <w:fldChar w:fldCharType="end"/>
            </w:r>
          </w:hyperlink>
        </w:p>
        <w:p w14:paraId="4C742BE8" w14:textId="7F6621E9" w:rsidR="00CB5775" w:rsidRDefault="00930973">
          <w:pPr>
            <w:pStyle w:val="TDC2"/>
            <w:tabs>
              <w:tab w:val="left" w:pos="880"/>
              <w:tab w:val="right" w:leader="dot" w:pos="8921"/>
            </w:tabs>
            <w:rPr>
              <w:rFonts w:asciiTheme="minorHAnsi" w:eastAsiaTheme="minorEastAsia" w:hAnsiTheme="minorHAnsi" w:cstheme="minorBidi"/>
              <w:noProof/>
              <w:sz w:val="22"/>
              <w:szCs w:val="22"/>
            </w:rPr>
          </w:pPr>
          <w:hyperlink w:anchor="_Toc526516472" w:history="1">
            <w:r w:rsidR="00CB5775" w:rsidRPr="001D1BDC">
              <w:rPr>
                <w:rStyle w:val="Hipervnculo"/>
                <w:rFonts w:eastAsia="Calibri"/>
                <w:b/>
                <w:noProof/>
              </w:rPr>
              <w:t>6.3</w:t>
            </w:r>
            <w:r w:rsidR="00CB5775">
              <w:rPr>
                <w:rFonts w:asciiTheme="minorHAnsi" w:eastAsiaTheme="minorEastAsia" w:hAnsiTheme="minorHAnsi" w:cstheme="minorBidi"/>
                <w:noProof/>
                <w:sz w:val="22"/>
                <w:szCs w:val="22"/>
              </w:rPr>
              <w:tab/>
            </w:r>
            <w:r w:rsidR="00CB5775" w:rsidRPr="001D1BDC">
              <w:rPr>
                <w:rStyle w:val="Hipervnculo"/>
                <w:rFonts w:eastAsia="Calibri"/>
                <w:b/>
                <w:noProof/>
              </w:rPr>
              <w:t>Aspectos Técnicos</w:t>
            </w:r>
            <w:r w:rsidR="00CB5775">
              <w:rPr>
                <w:noProof/>
                <w:webHidden/>
              </w:rPr>
              <w:tab/>
            </w:r>
            <w:r w:rsidR="00CB5775">
              <w:rPr>
                <w:noProof/>
                <w:webHidden/>
              </w:rPr>
              <w:fldChar w:fldCharType="begin"/>
            </w:r>
            <w:r w:rsidR="00CB5775">
              <w:rPr>
                <w:noProof/>
                <w:webHidden/>
              </w:rPr>
              <w:instrText xml:space="preserve"> PAGEREF _Toc526516472 \h </w:instrText>
            </w:r>
            <w:r w:rsidR="00CB5775">
              <w:rPr>
                <w:noProof/>
                <w:webHidden/>
              </w:rPr>
            </w:r>
            <w:r w:rsidR="00CB5775">
              <w:rPr>
                <w:noProof/>
                <w:webHidden/>
              </w:rPr>
              <w:fldChar w:fldCharType="separate"/>
            </w:r>
            <w:r w:rsidR="00CB5775">
              <w:rPr>
                <w:noProof/>
                <w:webHidden/>
              </w:rPr>
              <w:t>26</w:t>
            </w:r>
            <w:r w:rsidR="00CB5775">
              <w:rPr>
                <w:noProof/>
                <w:webHidden/>
              </w:rPr>
              <w:fldChar w:fldCharType="end"/>
            </w:r>
          </w:hyperlink>
        </w:p>
        <w:p w14:paraId="1FC5401F" w14:textId="2B394701" w:rsidR="00CB5775" w:rsidRDefault="00930973">
          <w:pPr>
            <w:pStyle w:val="TDC1"/>
            <w:rPr>
              <w:rFonts w:asciiTheme="minorHAnsi" w:eastAsiaTheme="minorEastAsia" w:hAnsiTheme="minorHAnsi" w:cstheme="minorBidi"/>
              <w:noProof/>
              <w:sz w:val="22"/>
              <w:szCs w:val="22"/>
            </w:rPr>
          </w:pPr>
          <w:hyperlink w:anchor="_Toc526516473" w:history="1">
            <w:r w:rsidR="00CB5775" w:rsidRPr="001D1BDC">
              <w:rPr>
                <w:rStyle w:val="Hipervnculo"/>
                <w:b/>
                <w:noProof/>
              </w:rPr>
              <w:t>7</w:t>
            </w:r>
            <w:r w:rsidR="00CB5775">
              <w:rPr>
                <w:rFonts w:asciiTheme="minorHAnsi" w:eastAsiaTheme="minorEastAsia" w:hAnsiTheme="minorHAnsi" w:cstheme="minorBidi"/>
                <w:noProof/>
                <w:sz w:val="22"/>
                <w:szCs w:val="22"/>
              </w:rPr>
              <w:tab/>
            </w:r>
            <w:r w:rsidR="00CB5775" w:rsidRPr="001D1BDC">
              <w:rPr>
                <w:rStyle w:val="Hipervnculo"/>
                <w:b/>
                <w:noProof/>
              </w:rPr>
              <w:t>CONCLUSIONES</w:t>
            </w:r>
            <w:r w:rsidR="00CB5775">
              <w:rPr>
                <w:noProof/>
                <w:webHidden/>
              </w:rPr>
              <w:tab/>
            </w:r>
            <w:r w:rsidR="00CB5775">
              <w:rPr>
                <w:noProof/>
                <w:webHidden/>
              </w:rPr>
              <w:fldChar w:fldCharType="begin"/>
            </w:r>
            <w:r w:rsidR="00CB5775">
              <w:rPr>
                <w:noProof/>
                <w:webHidden/>
              </w:rPr>
              <w:instrText xml:space="preserve"> PAGEREF _Toc526516473 \h </w:instrText>
            </w:r>
            <w:r w:rsidR="00CB5775">
              <w:rPr>
                <w:noProof/>
                <w:webHidden/>
              </w:rPr>
            </w:r>
            <w:r w:rsidR="00CB5775">
              <w:rPr>
                <w:noProof/>
                <w:webHidden/>
              </w:rPr>
              <w:fldChar w:fldCharType="separate"/>
            </w:r>
            <w:r w:rsidR="00CB5775">
              <w:rPr>
                <w:noProof/>
                <w:webHidden/>
              </w:rPr>
              <w:t>30</w:t>
            </w:r>
            <w:r w:rsidR="00CB5775">
              <w:rPr>
                <w:noProof/>
                <w:webHidden/>
              </w:rPr>
              <w:fldChar w:fldCharType="end"/>
            </w:r>
          </w:hyperlink>
        </w:p>
        <w:p w14:paraId="6D399AC2" w14:textId="7CB7DB19" w:rsidR="00CB5775" w:rsidRDefault="00930973">
          <w:pPr>
            <w:pStyle w:val="TDC1"/>
            <w:rPr>
              <w:rFonts w:asciiTheme="minorHAnsi" w:eastAsiaTheme="minorEastAsia" w:hAnsiTheme="minorHAnsi" w:cstheme="minorBidi"/>
              <w:noProof/>
              <w:sz w:val="22"/>
              <w:szCs w:val="22"/>
            </w:rPr>
          </w:pPr>
          <w:hyperlink w:anchor="_Toc526516474" w:history="1">
            <w:r w:rsidR="00CB5775" w:rsidRPr="001D1BDC">
              <w:rPr>
                <w:rStyle w:val="Hipervnculo"/>
                <w:b/>
                <w:noProof/>
              </w:rPr>
              <w:t>8</w:t>
            </w:r>
            <w:r w:rsidR="00CB5775">
              <w:rPr>
                <w:rFonts w:asciiTheme="minorHAnsi" w:eastAsiaTheme="minorEastAsia" w:hAnsiTheme="minorHAnsi" w:cstheme="minorBidi"/>
                <w:noProof/>
                <w:sz w:val="22"/>
                <w:szCs w:val="22"/>
              </w:rPr>
              <w:tab/>
            </w:r>
            <w:r w:rsidR="00CB5775" w:rsidRPr="001D1BDC">
              <w:rPr>
                <w:rStyle w:val="Hipervnculo"/>
                <w:b/>
                <w:noProof/>
              </w:rPr>
              <w:t>RECOMENDACIONES</w:t>
            </w:r>
            <w:r w:rsidR="00CB5775">
              <w:rPr>
                <w:noProof/>
                <w:webHidden/>
              </w:rPr>
              <w:tab/>
            </w:r>
            <w:r w:rsidR="00CB5775">
              <w:rPr>
                <w:noProof/>
                <w:webHidden/>
              </w:rPr>
              <w:fldChar w:fldCharType="begin"/>
            </w:r>
            <w:r w:rsidR="00CB5775">
              <w:rPr>
                <w:noProof/>
                <w:webHidden/>
              </w:rPr>
              <w:instrText xml:space="preserve"> PAGEREF _Toc526516474 \h </w:instrText>
            </w:r>
            <w:r w:rsidR="00CB5775">
              <w:rPr>
                <w:noProof/>
                <w:webHidden/>
              </w:rPr>
            </w:r>
            <w:r w:rsidR="00CB5775">
              <w:rPr>
                <w:noProof/>
                <w:webHidden/>
              </w:rPr>
              <w:fldChar w:fldCharType="separate"/>
            </w:r>
            <w:r w:rsidR="00CB5775">
              <w:rPr>
                <w:noProof/>
                <w:webHidden/>
              </w:rPr>
              <w:t>32</w:t>
            </w:r>
            <w:r w:rsidR="00CB5775">
              <w:rPr>
                <w:noProof/>
                <w:webHidden/>
              </w:rPr>
              <w:fldChar w:fldCharType="end"/>
            </w:r>
          </w:hyperlink>
        </w:p>
        <w:p w14:paraId="55F2F8D7" w14:textId="4286B842" w:rsidR="00CB5775" w:rsidRDefault="00930973">
          <w:pPr>
            <w:pStyle w:val="TDC1"/>
            <w:rPr>
              <w:rFonts w:asciiTheme="minorHAnsi" w:eastAsiaTheme="minorEastAsia" w:hAnsiTheme="minorHAnsi" w:cstheme="minorBidi"/>
              <w:noProof/>
              <w:sz w:val="22"/>
              <w:szCs w:val="22"/>
            </w:rPr>
          </w:pPr>
          <w:hyperlink w:anchor="_Toc526516475" w:history="1">
            <w:r w:rsidR="00CB5775" w:rsidRPr="001D1BDC">
              <w:rPr>
                <w:rStyle w:val="Hipervnculo"/>
                <w:b/>
                <w:noProof/>
              </w:rPr>
              <w:t>ANEXO 1 -Actos administrativos-</w:t>
            </w:r>
            <w:r w:rsidR="00CB5775">
              <w:rPr>
                <w:noProof/>
                <w:webHidden/>
              </w:rPr>
              <w:tab/>
            </w:r>
            <w:r w:rsidR="00CB5775">
              <w:rPr>
                <w:noProof/>
                <w:webHidden/>
              </w:rPr>
              <w:fldChar w:fldCharType="begin"/>
            </w:r>
            <w:r w:rsidR="00CB5775">
              <w:rPr>
                <w:noProof/>
                <w:webHidden/>
              </w:rPr>
              <w:instrText xml:space="preserve"> PAGEREF _Toc526516475 \h </w:instrText>
            </w:r>
            <w:r w:rsidR="00CB5775">
              <w:rPr>
                <w:noProof/>
                <w:webHidden/>
              </w:rPr>
            </w:r>
            <w:r w:rsidR="00CB5775">
              <w:rPr>
                <w:noProof/>
                <w:webHidden/>
              </w:rPr>
              <w:fldChar w:fldCharType="separate"/>
            </w:r>
            <w:r w:rsidR="00CB5775">
              <w:rPr>
                <w:noProof/>
                <w:webHidden/>
              </w:rPr>
              <w:t>33</w:t>
            </w:r>
            <w:r w:rsidR="00CB5775">
              <w:rPr>
                <w:noProof/>
                <w:webHidden/>
              </w:rPr>
              <w:fldChar w:fldCharType="end"/>
            </w:r>
          </w:hyperlink>
        </w:p>
        <w:p w14:paraId="40194193" w14:textId="46F76890" w:rsidR="008F5741" w:rsidRPr="00043DFF" w:rsidRDefault="008F5741" w:rsidP="008F5741">
          <w:pPr>
            <w:rPr>
              <w:sz w:val="20"/>
              <w:szCs w:val="20"/>
            </w:rPr>
          </w:pPr>
          <w:r w:rsidRPr="00043DFF">
            <w:rPr>
              <w:bCs/>
              <w:sz w:val="20"/>
              <w:szCs w:val="20"/>
              <w:lang w:val="es-ES"/>
            </w:rPr>
            <w:fldChar w:fldCharType="end"/>
          </w:r>
        </w:p>
      </w:sdtContent>
    </w:sdt>
    <w:p w14:paraId="23F57B8C" w14:textId="77777777" w:rsidR="008F5741" w:rsidRDefault="008F5741" w:rsidP="008F5741">
      <w:pPr>
        <w:pStyle w:val="Sinespaciado"/>
        <w:tabs>
          <w:tab w:val="left" w:pos="1935"/>
          <w:tab w:val="center" w:pos="4419"/>
        </w:tabs>
        <w:jc w:val="center"/>
        <w:rPr>
          <w:b/>
          <w:color w:val="385623" w:themeColor="accent6" w:themeShade="80"/>
          <w:lang w:eastAsia="es-CO"/>
        </w:rPr>
        <w:sectPr w:rsidR="008F5741" w:rsidSect="00460E0E">
          <w:headerReference w:type="default" r:id="rId12"/>
          <w:footerReference w:type="default" r:id="rId13"/>
          <w:footerReference w:type="first" r:id="rId14"/>
          <w:pgSz w:w="12240" w:h="15840"/>
          <w:pgMar w:top="1134" w:right="1608" w:bottom="1417" w:left="1701" w:header="708" w:footer="708" w:gutter="0"/>
          <w:cols w:space="708"/>
          <w:docGrid w:linePitch="360"/>
        </w:sectPr>
      </w:pPr>
    </w:p>
    <w:p w14:paraId="1B9166DB" w14:textId="77777777" w:rsidR="008F5741" w:rsidRPr="00CD4500" w:rsidRDefault="008F5741" w:rsidP="008F5741"/>
    <w:p w14:paraId="34238D7E" w14:textId="77777777" w:rsidR="008F5741" w:rsidRPr="00EA0DBD" w:rsidRDefault="008F5741" w:rsidP="008F5741">
      <w:pPr>
        <w:pStyle w:val="Ttulo"/>
        <w:jc w:val="center"/>
        <w:rPr>
          <w:rFonts w:ascii="Times New Roman" w:hAnsi="Times New Roman" w:cs="Times New Roman"/>
          <w:b/>
          <w:color w:val="385623" w:themeColor="accent6" w:themeShade="80"/>
          <w:sz w:val="24"/>
          <w:szCs w:val="24"/>
        </w:rPr>
      </w:pPr>
      <w:r w:rsidRPr="00BC01AA">
        <w:rPr>
          <w:rFonts w:ascii="Times New Roman" w:eastAsiaTheme="minorHAnsi" w:hAnsi="Times New Roman" w:cs="Times New Roman"/>
          <w:b/>
          <w:color w:val="385623" w:themeColor="accent6" w:themeShade="80"/>
          <w:spacing w:val="0"/>
          <w:kern w:val="0"/>
          <w:sz w:val="24"/>
          <w:szCs w:val="24"/>
        </w:rPr>
        <w:t>Informe Consolidación de Información</w:t>
      </w:r>
    </w:p>
    <w:p w14:paraId="52F7DB83" w14:textId="77777777" w:rsidR="008F5741" w:rsidRPr="00EA0DBD" w:rsidRDefault="008F5741" w:rsidP="008F5741">
      <w:pPr>
        <w:pStyle w:val="Sinespaciado"/>
        <w:jc w:val="center"/>
        <w:rPr>
          <w:rFonts w:cs="Times New Roman"/>
          <w:b/>
          <w:color w:val="385623" w:themeColor="accent6" w:themeShade="80"/>
          <w:szCs w:val="24"/>
          <w:lang w:eastAsia="es-CO"/>
        </w:rPr>
      </w:pPr>
      <w:r w:rsidRPr="00EA0DBD">
        <w:rPr>
          <w:rFonts w:cs="Times New Roman"/>
          <w:b/>
          <w:color w:val="385623" w:themeColor="accent6" w:themeShade="80"/>
          <w:szCs w:val="24"/>
          <w:lang w:eastAsia="es-CO"/>
        </w:rPr>
        <w:t xml:space="preserve">Proyecto Complejo de la Salud </w:t>
      </w:r>
    </w:p>
    <w:p w14:paraId="09AD0809" w14:textId="77777777" w:rsidR="008F5741" w:rsidRDefault="008F5741" w:rsidP="008F5741">
      <w:pPr>
        <w:pStyle w:val="Prrafodelista"/>
        <w:ind w:left="284"/>
        <w:rPr>
          <w:b/>
          <w:color w:val="385623" w:themeColor="accent6" w:themeShade="80"/>
          <w:sz w:val="22"/>
        </w:rPr>
      </w:pPr>
      <w:r w:rsidRPr="004D754E">
        <w:rPr>
          <w:b/>
          <w:noProof/>
          <w:color w:val="385623" w:themeColor="accent6" w:themeShade="80"/>
          <w:sz w:val="22"/>
        </w:rPr>
        <mc:AlternateContent>
          <mc:Choice Requires="wps">
            <w:drawing>
              <wp:anchor distT="0" distB="0" distL="114300" distR="114300" simplePos="0" relativeHeight="251659264" behindDoc="0" locked="0" layoutInCell="1" allowOverlap="1" wp14:anchorId="14A7D6AF" wp14:editId="05E3AE0D">
                <wp:simplePos x="0" y="0"/>
                <wp:positionH relativeFrom="column">
                  <wp:posOffset>81915</wp:posOffset>
                </wp:positionH>
                <wp:positionV relativeFrom="paragraph">
                  <wp:posOffset>26670</wp:posOffset>
                </wp:positionV>
                <wp:extent cx="5781675" cy="0"/>
                <wp:effectExtent l="0" t="19050" r="28575" b="19050"/>
                <wp:wrapNone/>
                <wp:docPr id="7" name="Conector recto 7"/>
                <wp:cNvGraphicFramePr/>
                <a:graphic xmlns:a="http://schemas.openxmlformats.org/drawingml/2006/main">
                  <a:graphicData uri="http://schemas.microsoft.com/office/word/2010/wordprocessingShape">
                    <wps:wsp>
                      <wps:cNvCnPr/>
                      <wps:spPr>
                        <a:xfrm>
                          <a:off x="0" y="0"/>
                          <a:ext cx="5781675" cy="0"/>
                        </a:xfrm>
                        <a:prstGeom prst="line">
                          <a:avLst/>
                        </a:prstGeom>
                        <a:ln w="38100">
                          <a:solidFill>
                            <a:schemeClr val="accent6">
                              <a:lumMod val="50000"/>
                            </a:schemeClr>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C883196" id="Conector recto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2.1pt" to="461.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FI5wEAADEEAAAOAAAAZHJzL2Uyb0RvYy54bWysU8lu2zAQvRfoPxC815IceIFgOQcH6aWL&#10;0eUDGIq0CHDDkLHkv++QkuWiKVogiA4UOTNvZt7jcHc/GE3OAoJytqHVoqREWO5aZU8N/fnj8cOW&#10;khCZbZl2VjT0IgK9379/t+t9LZauc7oVQDCJDXXvG9rF6OuiCLwThoWF88KiUzowLOIRTkULrMfs&#10;RhfLslwXvYPWg+MiBLQ+jE66z/mlFDx+lTKISHRDsbeYV8jrU1qL/Y7VJ2C+U3xqg72iC8OUxaJz&#10;qgcWGXkG9SKVURxccDIuuDOFk1JxkTkgm6r8g833jnmRuaA4wc8yhbdLy7+cj0BU29ANJZYZvKID&#10;XhSPDgikH9kkjXofagw92CNMp+CPkAgPEkz6IxUyZF0vs65iiISjcbXZVuvNihJ+9RU3oIcQPwpn&#10;SNo0VCubKLOanT+FiMUw9BqSzNqSvqF326osc1hwWrWPSuvkzGMjDhrImeGFM86Fjescp5/NZ9eO&#10;9lWJX6KFuWfIeLplQ5+2aEzUR7J5Fy9ajH18ExKFQ3p3YyNpZF/WHqtoi9EJJrHTGTgx+Bdwik9Q&#10;kcd5Bi//X3VG5MrOxhlslHXwtwRxqCZh5Bh/VWDknSR4cu0lj0GWBucyKze9oTT4v58z/PbS978A&#10;AAD//wMAUEsDBBQABgAIAAAAIQCF1XfX2QAAAAYBAAAPAAAAZHJzL2Rvd25yZXYueG1sTI7BTsMw&#10;EETvSPyDtZW4UachqtoQp0JIQUKcEvgAJ94mEfY6it025etZuMDxaUYzrzgszoozzmH0pGCzTkAg&#10;dd6M1Cv4eK/udyBC1GS09YQKrhjgUN7eFDo3/kI1npvYCx6hkGsFQ4xTLmXoBnQ6rP2ExNnRz05H&#10;xrmXZtYXHndWpkmylU6PxA+DnvB5wO6zOTkF9i3bVtq+0rHx16+2quuXHQ1K3a2Wp0cQEZf4V4Yf&#10;fVaHkp1afyIThGVO99xUkKUgON6nDxmI9pdlWcj/+uU3AAAA//8DAFBLAQItABQABgAIAAAAIQC2&#10;gziS/gAAAOEBAAATAAAAAAAAAAAAAAAAAAAAAABbQ29udGVudF9UeXBlc10ueG1sUEsBAi0AFAAG&#10;AAgAAAAhADj9If/WAAAAlAEAAAsAAAAAAAAAAAAAAAAALwEAAF9yZWxzLy5yZWxzUEsBAi0AFAAG&#10;AAgAAAAhAMi80UjnAQAAMQQAAA4AAAAAAAAAAAAAAAAALgIAAGRycy9lMm9Eb2MueG1sUEsBAi0A&#10;FAAGAAgAAAAhAIXVd9fZAAAABgEAAA8AAAAAAAAAAAAAAAAAQQQAAGRycy9kb3ducmV2LnhtbFBL&#10;BQYAAAAABAAEAPMAAABHBQAAAAA=&#10;" strokecolor="#375623 [1609]" strokeweight="3pt">
                <v:stroke joinstyle="miter"/>
              </v:line>
            </w:pict>
          </mc:Fallback>
        </mc:AlternateContent>
      </w:r>
    </w:p>
    <w:p w14:paraId="4E19F3C5" w14:textId="77777777" w:rsidR="008F5741" w:rsidRPr="008F033B" w:rsidRDefault="008F5741" w:rsidP="008F5741">
      <w:pPr>
        <w:pStyle w:val="Prrafodelista"/>
        <w:ind w:left="284"/>
        <w:rPr>
          <w:b/>
          <w:color w:val="385623" w:themeColor="accent6" w:themeShade="80"/>
          <w:sz w:val="22"/>
        </w:rPr>
      </w:pPr>
    </w:p>
    <w:p w14:paraId="54A9B6BD" w14:textId="77777777" w:rsidR="008F5741" w:rsidRPr="001926FA" w:rsidRDefault="008F5741" w:rsidP="008F5741">
      <w:pPr>
        <w:pStyle w:val="Ttulo1"/>
        <w:numPr>
          <w:ilvl w:val="0"/>
          <w:numId w:val="6"/>
        </w:numPr>
        <w:spacing w:before="0"/>
        <w:ind w:left="426" w:hanging="426"/>
        <w:rPr>
          <w:rFonts w:ascii="Times New Roman" w:hAnsi="Times New Roman" w:cs="Times New Roman"/>
          <w:b/>
          <w:color w:val="385623" w:themeColor="accent6" w:themeShade="80"/>
          <w:sz w:val="24"/>
        </w:rPr>
      </w:pPr>
      <w:bookmarkStart w:id="0" w:name="_Toc526516458"/>
      <w:r w:rsidRPr="001926FA">
        <w:rPr>
          <w:rFonts w:ascii="Times New Roman" w:hAnsi="Times New Roman" w:cs="Times New Roman"/>
          <w:b/>
          <w:color w:val="385623" w:themeColor="accent6" w:themeShade="80"/>
          <w:sz w:val="24"/>
        </w:rPr>
        <w:t>OBJETIVO</w:t>
      </w:r>
      <w:bookmarkEnd w:id="0"/>
    </w:p>
    <w:p w14:paraId="0DD45943" w14:textId="77777777" w:rsidR="008F5741" w:rsidRPr="00CD4500" w:rsidRDefault="008F5741" w:rsidP="008F5741">
      <w:pPr>
        <w:pStyle w:val="Prrafodelista"/>
        <w:ind w:left="284"/>
        <w:rPr>
          <w:b/>
          <w:color w:val="385623" w:themeColor="accent6" w:themeShade="80"/>
          <w:sz w:val="16"/>
        </w:rPr>
      </w:pPr>
    </w:p>
    <w:p w14:paraId="267128B2" w14:textId="72258A62" w:rsidR="008F5741" w:rsidRPr="00C014D2" w:rsidRDefault="008F5741" w:rsidP="008F5741">
      <w:pPr>
        <w:jc w:val="both"/>
        <w:rPr>
          <w:rFonts w:eastAsia="Calibri" w:cstheme="minorBidi"/>
          <w:sz w:val="22"/>
        </w:rPr>
      </w:pPr>
      <w:r w:rsidRPr="00C014D2">
        <w:rPr>
          <w:rFonts w:eastAsia="Calibri"/>
          <w:sz w:val="22"/>
        </w:rPr>
        <w:t xml:space="preserve">Consolidar la información </w:t>
      </w:r>
      <w:r>
        <w:rPr>
          <w:rFonts w:eastAsia="Calibri"/>
          <w:sz w:val="22"/>
        </w:rPr>
        <w:t>d</w:t>
      </w:r>
      <w:r w:rsidRPr="00C014D2">
        <w:rPr>
          <w:rFonts w:eastAsia="Calibri"/>
          <w:sz w:val="22"/>
        </w:rPr>
        <w:t>el proyecto del complejo de la salud</w:t>
      </w:r>
      <w:r>
        <w:rPr>
          <w:rFonts w:eastAsia="Calibri"/>
          <w:sz w:val="22"/>
        </w:rPr>
        <w:t xml:space="preserve"> </w:t>
      </w:r>
      <w:r w:rsidRPr="00B81A79">
        <w:rPr>
          <w:rFonts w:eastAsia="Calibri"/>
          <w:sz w:val="22"/>
          <w:szCs w:val="22"/>
        </w:rPr>
        <w:t xml:space="preserve">dispuesta por </w:t>
      </w:r>
      <w:r w:rsidRPr="00B81A79">
        <w:rPr>
          <w:sz w:val="22"/>
          <w:szCs w:val="22"/>
        </w:rPr>
        <w:t>la Vicerrectoría General, la Vicerrectoría Administrativa</w:t>
      </w:r>
      <w:r>
        <w:rPr>
          <w:sz w:val="22"/>
          <w:szCs w:val="22"/>
        </w:rPr>
        <w:t xml:space="preserve">, la Facultad Nacional de Salud Pública y </w:t>
      </w:r>
      <w:r w:rsidRPr="00B81A79">
        <w:rPr>
          <w:sz w:val="22"/>
          <w:szCs w:val="22"/>
        </w:rPr>
        <w:t>la Direc</w:t>
      </w:r>
      <w:r>
        <w:rPr>
          <w:sz w:val="22"/>
          <w:szCs w:val="22"/>
        </w:rPr>
        <w:t>ción</w:t>
      </w:r>
      <w:r w:rsidRPr="00B81A79">
        <w:rPr>
          <w:sz w:val="22"/>
          <w:szCs w:val="22"/>
        </w:rPr>
        <w:t xml:space="preserve"> General y Gerencia Técnica del Proyecto</w:t>
      </w:r>
      <w:r w:rsidRPr="00E1445F">
        <w:rPr>
          <w:sz w:val="22"/>
          <w:szCs w:val="22"/>
        </w:rPr>
        <w:t>; con el fin de realizar el análisis de temas administrativos, financieros y técnicos</w:t>
      </w:r>
      <w:r w:rsidRPr="00E1445F">
        <w:rPr>
          <w:sz w:val="22"/>
        </w:rPr>
        <w:t xml:space="preserve">, susceptibles de </w:t>
      </w:r>
      <w:r w:rsidR="00E1445F" w:rsidRPr="00E1445F">
        <w:rPr>
          <w:sz w:val="22"/>
        </w:rPr>
        <w:t>evaluación</w:t>
      </w:r>
      <w:r w:rsidRPr="00E1445F">
        <w:rPr>
          <w:sz w:val="22"/>
        </w:rPr>
        <w:t xml:space="preserve"> y determinación de </w:t>
      </w:r>
      <w:r w:rsidRPr="00E1445F">
        <w:rPr>
          <w:rFonts w:eastAsia="Calibri"/>
          <w:sz w:val="22"/>
        </w:rPr>
        <w:t>acciones de la administración.</w:t>
      </w:r>
      <w:r w:rsidRPr="00C014D2">
        <w:rPr>
          <w:rFonts w:eastAsia="Calibri"/>
          <w:sz w:val="22"/>
        </w:rPr>
        <w:t xml:space="preserve">  </w:t>
      </w:r>
    </w:p>
    <w:p w14:paraId="5E3307D5" w14:textId="77777777" w:rsidR="008F5741" w:rsidRPr="005B775B" w:rsidRDefault="008F5741" w:rsidP="008F5741">
      <w:pPr>
        <w:jc w:val="both"/>
        <w:rPr>
          <w:sz w:val="18"/>
        </w:rPr>
      </w:pPr>
    </w:p>
    <w:p w14:paraId="66C0680B" w14:textId="77777777" w:rsidR="008F5741" w:rsidRPr="005B775B" w:rsidRDefault="008F5741" w:rsidP="008F5741">
      <w:pPr>
        <w:pStyle w:val="Prrafodelista"/>
        <w:ind w:left="0"/>
        <w:rPr>
          <w:b/>
          <w:color w:val="385623" w:themeColor="accent6" w:themeShade="80"/>
          <w:sz w:val="16"/>
        </w:rPr>
      </w:pPr>
    </w:p>
    <w:p w14:paraId="7E645CE3" w14:textId="77777777" w:rsidR="008F5741" w:rsidRPr="00F0025F" w:rsidRDefault="008F5741" w:rsidP="008F5741">
      <w:pPr>
        <w:pStyle w:val="Ttulo1"/>
        <w:numPr>
          <w:ilvl w:val="0"/>
          <w:numId w:val="6"/>
        </w:numPr>
        <w:spacing w:before="0"/>
        <w:ind w:left="426" w:hanging="426"/>
        <w:rPr>
          <w:rFonts w:ascii="Times New Roman" w:hAnsi="Times New Roman" w:cs="Times New Roman"/>
          <w:b/>
          <w:color w:val="385623" w:themeColor="accent6" w:themeShade="80"/>
          <w:sz w:val="24"/>
        </w:rPr>
      </w:pPr>
      <w:bookmarkStart w:id="1" w:name="_Toc526516459"/>
      <w:r w:rsidRPr="00F0025F">
        <w:rPr>
          <w:rFonts w:ascii="Times New Roman" w:hAnsi="Times New Roman" w:cs="Times New Roman"/>
          <w:b/>
          <w:color w:val="385623" w:themeColor="accent6" w:themeShade="80"/>
          <w:sz w:val="24"/>
        </w:rPr>
        <w:t>ALCANCE</w:t>
      </w:r>
      <w:bookmarkEnd w:id="1"/>
    </w:p>
    <w:p w14:paraId="6B4C6A12" w14:textId="77777777" w:rsidR="008F5741" w:rsidRPr="00CD4500" w:rsidRDefault="008F5741" w:rsidP="008F5741">
      <w:pPr>
        <w:pStyle w:val="Prrafodelista"/>
        <w:ind w:left="284"/>
        <w:rPr>
          <w:b/>
          <w:color w:val="385623" w:themeColor="accent6" w:themeShade="80"/>
          <w:sz w:val="16"/>
        </w:rPr>
      </w:pPr>
    </w:p>
    <w:p w14:paraId="6D8E2D3F" w14:textId="77777777" w:rsidR="008F5741" w:rsidRDefault="008F5741" w:rsidP="008F5741">
      <w:pPr>
        <w:jc w:val="both"/>
        <w:rPr>
          <w:rFonts w:eastAsia="Calibri"/>
          <w:sz w:val="22"/>
        </w:rPr>
      </w:pPr>
      <w:r w:rsidRPr="005778E0">
        <w:rPr>
          <w:rFonts w:eastAsia="Calibri"/>
          <w:sz w:val="22"/>
        </w:rPr>
        <w:t>El alcance est</w:t>
      </w:r>
      <w:r>
        <w:rPr>
          <w:rFonts w:eastAsia="Calibri"/>
          <w:sz w:val="22"/>
        </w:rPr>
        <w:t>á</w:t>
      </w:r>
      <w:r w:rsidRPr="005778E0">
        <w:rPr>
          <w:rFonts w:eastAsia="Calibri"/>
          <w:sz w:val="22"/>
        </w:rPr>
        <w:t xml:space="preserve"> dado para información relacionada con: </w:t>
      </w:r>
    </w:p>
    <w:p w14:paraId="026ABBB5" w14:textId="77777777" w:rsidR="008F5741" w:rsidRPr="00CD4500" w:rsidRDefault="008F5741" w:rsidP="008F5741">
      <w:pPr>
        <w:pStyle w:val="Prrafodelista"/>
        <w:ind w:left="284"/>
        <w:rPr>
          <w:b/>
          <w:color w:val="385623" w:themeColor="accent6" w:themeShade="80"/>
          <w:sz w:val="16"/>
        </w:rPr>
      </w:pPr>
    </w:p>
    <w:p w14:paraId="53AFBEEF" w14:textId="77777777" w:rsidR="008F5741" w:rsidRDefault="008F5741" w:rsidP="008F5741">
      <w:pPr>
        <w:pStyle w:val="Prrafodelista"/>
        <w:numPr>
          <w:ilvl w:val="0"/>
          <w:numId w:val="37"/>
        </w:numPr>
        <w:spacing w:after="160" w:line="259" w:lineRule="auto"/>
        <w:jc w:val="both"/>
        <w:rPr>
          <w:sz w:val="22"/>
        </w:rPr>
      </w:pPr>
      <w:r>
        <w:rPr>
          <w:sz w:val="22"/>
        </w:rPr>
        <w:t>A</w:t>
      </w:r>
      <w:r w:rsidRPr="00646F19">
        <w:rPr>
          <w:sz w:val="22"/>
        </w:rPr>
        <w:t>spectos administrativos</w:t>
      </w:r>
      <w:r>
        <w:rPr>
          <w:sz w:val="22"/>
        </w:rPr>
        <w:t>:</w:t>
      </w:r>
      <w:r w:rsidRPr="00646F19">
        <w:rPr>
          <w:sz w:val="22"/>
        </w:rPr>
        <w:t xml:space="preserve"> contratos, actos administrativos, comités de seguimiento, comité académico, reuniones informativas y de </w:t>
      </w:r>
      <w:r w:rsidRPr="00FC6DDB">
        <w:rPr>
          <w:sz w:val="22"/>
        </w:rPr>
        <w:t>planeación, informes</w:t>
      </w:r>
      <w:r w:rsidRPr="00646F19">
        <w:rPr>
          <w:sz w:val="22"/>
        </w:rPr>
        <w:t>, entre otros;</w:t>
      </w:r>
    </w:p>
    <w:p w14:paraId="183CA8CD" w14:textId="77777777" w:rsidR="008F5741" w:rsidRPr="00CD4500" w:rsidRDefault="008F5741" w:rsidP="008F5741">
      <w:pPr>
        <w:pStyle w:val="Prrafodelista"/>
        <w:ind w:left="284"/>
        <w:rPr>
          <w:b/>
          <w:color w:val="385623" w:themeColor="accent6" w:themeShade="80"/>
          <w:sz w:val="16"/>
        </w:rPr>
      </w:pPr>
    </w:p>
    <w:p w14:paraId="6A248002" w14:textId="77777777" w:rsidR="008F5741" w:rsidRDefault="008F5741" w:rsidP="008F5741">
      <w:pPr>
        <w:pStyle w:val="Prrafodelista"/>
        <w:numPr>
          <w:ilvl w:val="0"/>
          <w:numId w:val="37"/>
        </w:numPr>
        <w:spacing w:after="160" w:line="259" w:lineRule="auto"/>
        <w:jc w:val="both"/>
        <w:rPr>
          <w:sz w:val="22"/>
        </w:rPr>
      </w:pPr>
      <w:r>
        <w:rPr>
          <w:sz w:val="22"/>
        </w:rPr>
        <w:t>A</w:t>
      </w:r>
      <w:r w:rsidRPr="00646F19">
        <w:rPr>
          <w:sz w:val="22"/>
        </w:rPr>
        <w:t>spectos financieros</w:t>
      </w:r>
      <w:r>
        <w:rPr>
          <w:sz w:val="22"/>
        </w:rPr>
        <w:t>:</w:t>
      </w:r>
      <w:r w:rsidRPr="00646F19">
        <w:rPr>
          <w:sz w:val="22"/>
        </w:rPr>
        <w:t xml:space="preserve"> el seguimiento a los recursos de los contratos, recaudo de estampilla, proyección de la deuda y la viabilidad financiera del proyecto; y</w:t>
      </w:r>
    </w:p>
    <w:p w14:paraId="154FCE21" w14:textId="77777777" w:rsidR="008F5741" w:rsidRPr="00CD4500" w:rsidRDefault="008F5741" w:rsidP="008F5741">
      <w:pPr>
        <w:pStyle w:val="Prrafodelista"/>
        <w:ind w:left="284"/>
        <w:rPr>
          <w:b/>
          <w:color w:val="385623" w:themeColor="accent6" w:themeShade="80"/>
          <w:sz w:val="16"/>
        </w:rPr>
      </w:pPr>
    </w:p>
    <w:p w14:paraId="31A39611" w14:textId="77777777" w:rsidR="008F5741" w:rsidRPr="00646F19" w:rsidRDefault="008F5741" w:rsidP="008F5741">
      <w:pPr>
        <w:pStyle w:val="Prrafodelista"/>
        <w:numPr>
          <w:ilvl w:val="0"/>
          <w:numId w:val="37"/>
        </w:numPr>
        <w:spacing w:line="259" w:lineRule="auto"/>
        <w:jc w:val="both"/>
        <w:rPr>
          <w:sz w:val="22"/>
        </w:rPr>
      </w:pPr>
      <w:r>
        <w:rPr>
          <w:sz w:val="22"/>
        </w:rPr>
        <w:t>A</w:t>
      </w:r>
      <w:r w:rsidRPr="00646F19">
        <w:rPr>
          <w:sz w:val="22"/>
        </w:rPr>
        <w:t>spectos técnicos</w:t>
      </w:r>
      <w:r>
        <w:rPr>
          <w:sz w:val="22"/>
        </w:rPr>
        <w:t>:</w:t>
      </w:r>
      <w:r w:rsidRPr="00646F19">
        <w:rPr>
          <w:sz w:val="22"/>
        </w:rPr>
        <w:t xml:space="preserve"> avances en los diseños y su coherencia con la programación </w:t>
      </w:r>
      <w:r w:rsidRPr="00FC6DDB">
        <w:rPr>
          <w:sz w:val="22"/>
        </w:rPr>
        <w:t>físico-financiera</w:t>
      </w:r>
      <w:r w:rsidRPr="00646F19">
        <w:rPr>
          <w:sz w:val="22"/>
        </w:rPr>
        <w:t>.</w:t>
      </w:r>
    </w:p>
    <w:p w14:paraId="6BC0C7FD" w14:textId="77777777" w:rsidR="008F5741" w:rsidRPr="005B775B" w:rsidRDefault="008F5741" w:rsidP="008F5741">
      <w:pPr>
        <w:jc w:val="both"/>
        <w:rPr>
          <w:sz w:val="18"/>
        </w:rPr>
      </w:pPr>
    </w:p>
    <w:p w14:paraId="5DC52F7E" w14:textId="77777777" w:rsidR="008F5741" w:rsidRPr="005B775B" w:rsidRDefault="008F5741" w:rsidP="008F5741">
      <w:pPr>
        <w:jc w:val="both"/>
        <w:rPr>
          <w:sz w:val="18"/>
        </w:rPr>
      </w:pPr>
    </w:p>
    <w:p w14:paraId="70BBD4E7" w14:textId="77777777" w:rsidR="008F5741" w:rsidRPr="00F0025F" w:rsidRDefault="008F5741" w:rsidP="008F5741">
      <w:pPr>
        <w:pStyle w:val="Ttulo1"/>
        <w:numPr>
          <w:ilvl w:val="0"/>
          <w:numId w:val="6"/>
        </w:numPr>
        <w:spacing w:before="0"/>
        <w:ind w:left="426" w:hanging="426"/>
        <w:rPr>
          <w:rFonts w:ascii="Times New Roman" w:hAnsi="Times New Roman" w:cs="Times New Roman"/>
          <w:b/>
          <w:color w:val="385623" w:themeColor="accent6" w:themeShade="80"/>
          <w:sz w:val="24"/>
        </w:rPr>
      </w:pPr>
      <w:bookmarkStart w:id="2" w:name="_Toc526516460"/>
      <w:r w:rsidRPr="00F0025F">
        <w:rPr>
          <w:rFonts w:ascii="Times New Roman" w:hAnsi="Times New Roman" w:cs="Times New Roman"/>
          <w:b/>
          <w:color w:val="385623" w:themeColor="accent6" w:themeShade="80"/>
          <w:sz w:val="24"/>
        </w:rPr>
        <w:t>NORMATIVA</w:t>
      </w:r>
      <w:bookmarkEnd w:id="2"/>
    </w:p>
    <w:p w14:paraId="70E3A3D7" w14:textId="77777777" w:rsidR="008F5741" w:rsidRPr="00CD4500" w:rsidRDefault="008F5741" w:rsidP="008F5741">
      <w:pPr>
        <w:pStyle w:val="Prrafodelista"/>
        <w:ind w:left="284"/>
        <w:rPr>
          <w:b/>
          <w:color w:val="385623" w:themeColor="accent6" w:themeShade="80"/>
          <w:sz w:val="16"/>
        </w:rPr>
      </w:pPr>
    </w:p>
    <w:p w14:paraId="68116E1B" w14:textId="77777777" w:rsidR="008F5741" w:rsidRPr="00CD4500" w:rsidRDefault="008F5741" w:rsidP="008F5741">
      <w:pPr>
        <w:pStyle w:val="Prrafodelista"/>
        <w:numPr>
          <w:ilvl w:val="0"/>
          <w:numId w:val="4"/>
        </w:numPr>
        <w:ind w:hanging="294"/>
        <w:jc w:val="both"/>
        <w:rPr>
          <w:rFonts w:eastAsia="Calibri"/>
          <w:sz w:val="20"/>
          <w:szCs w:val="22"/>
        </w:rPr>
      </w:pPr>
      <w:r w:rsidRPr="00CD4500">
        <w:rPr>
          <w:rFonts w:eastAsia="Calibri"/>
          <w:sz w:val="20"/>
          <w:szCs w:val="22"/>
        </w:rPr>
        <w:t>Ley 1321 julio 2009- Ampliación Emisión Estampilla</w:t>
      </w:r>
    </w:p>
    <w:p w14:paraId="7FB9FD83" w14:textId="77777777" w:rsidR="008F5741" w:rsidRPr="00CD4500" w:rsidRDefault="008F5741" w:rsidP="008F5741">
      <w:pPr>
        <w:pStyle w:val="Prrafodelista"/>
        <w:numPr>
          <w:ilvl w:val="0"/>
          <w:numId w:val="4"/>
        </w:numPr>
        <w:ind w:right="-283" w:hanging="294"/>
        <w:jc w:val="both"/>
        <w:rPr>
          <w:b/>
          <w:color w:val="385623" w:themeColor="accent6" w:themeShade="80"/>
          <w:sz w:val="20"/>
          <w:szCs w:val="22"/>
        </w:rPr>
      </w:pPr>
      <w:r w:rsidRPr="00CD4500">
        <w:rPr>
          <w:rFonts w:eastAsia="Calibri"/>
          <w:sz w:val="20"/>
          <w:szCs w:val="22"/>
        </w:rPr>
        <w:t>Acuerdo Superior 419 de 2014-Estatuto</w:t>
      </w:r>
      <w:r w:rsidRPr="00CD4500">
        <w:rPr>
          <w:b/>
          <w:color w:val="385623" w:themeColor="accent6" w:themeShade="80"/>
          <w:sz w:val="20"/>
          <w:szCs w:val="22"/>
        </w:rPr>
        <w:t xml:space="preserve"> </w:t>
      </w:r>
      <w:r w:rsidRPr="00CD4500">
        <w:rPr>
          <w:rFonts w:eastAsia="Calibri"/>
          <w:sz w:val="20"/>
          <w:szCs w:val="22"/>
        </w:rPr>
        <w:t>Contractual</w:t>
      </w:r>
    </w:p>
    <w:p w14:paraId="1D3F8686" w14:textId="77777777" w:rsidR="008F5741" w:rsidRPr="00CD4500" w:rsidRDefault="008F5741" w:rsidP="008F5741">
      <w:pPr>
        <w:pStyle w:val="Prrafodelista"/>
        <w:numPr>
          <w:ilvl w:val="0"/>
          <w:numId w:val="4"/>
        </w:numPr>
        <w:ind w:hanging="294"/>
        <w:jc w:val="both"/>
        <w:rPr>
          <w:rFonts w:eastAsia="Calibri"/>
          <w:sz w:val="20"/>
          <w:szCs w:val="22"/>
        </w:rPr>
      </w:pPr>
      <w:r w:rsidRPr="00CD4500">
        <w:rPr>
          <w:rFonts w:eastAsia="Calibri"/>
          <w:sz w:val="20"/>
          <w:szCs w:val="22"/>
        </w:rPr>
        <w:t>Actos administrativos relacionados en el anexo 1</w:t>
      </w:r>
      <w:r w:rsidRPr="00CD4500">
        <w:rPr>
          <w:rFonts w:eastAsia="Calibri"/>
          <w:sz w:val="22"/>
        </w:rPr>
        <w:t xml:space="preserve"> </w:t>
      </w:r>
    </w:p>
    <w:p w14:paraId="291886F1" w14:textId="77777777" w:rsidR="008F5741" w:rsidRPr="00CD4500" w:rsidRDefault="008F5741" w:rsidP="008F5741">
      <w:pPr>
        <w:pStyle w:val="Prrafodelista"/>
        <w:numPr>
          <w:ilvl w:val="0"/>
          <w:numId w:val="4"/>
        </w:numPr>
        <w:ind w:hanging="294"/>
        <w:jc w:val="both"/>
        <w:rPr>
          <w:rFonts w:eastAsia="Calibri"/>
          <w:sz w:val="20"/>
          <w:szCs w:val="22"/>
        </w:rPr>
      </w:pPr>
      <w:r w:rsidRPr="00CD4500">
        <w:rPr>
          <w:rFonts w:eastAsia="Calibri"/>
          <w:sz w:val="20"/>
          <w:szCs w:val="22"/>
        </w:rPr>
        <w:t>Plan desarrollo de la Universidad de Antioquia.</w:t>
      </w:r>
    </w:p>
    <w:p w14:paraId="2CFD913C" w14:textId="77777777" w:rsidR="008F5741" w:rsidRPr="00CD4500" w:rsidRDefault="008F5741" w:rsidP="008F5741">
      <w:pPr>
        <w:pStyle w:val="Prrafodelista"/>
        <w:numPr>
          <w:ilvl w:val="0"/>
          <w:numId w:val="4"/>
        </w:numPr>
        <w:ind w:hanging="294"/>
        <w:jc w:val="both"/>
        <w:rPr>
          <w:rFonts w:eastAsia="Calibri"/>
          <w:sz w:val="20"/>
          <w:szCs w:val="22"/>
        </w:rPr>
      </w:pPr>
      <w:r w:rsidRPr="00CD4500">
        <w:rPr>
          <w:rFonts w:eastAsia="Calibri"/>
          <w:sz w:val="20"/>
          <w:szCs w:val="22"/>
        </w:rPr>
        <w:t>Plan de acción 2015-2018</w:t>
      </w:r>
    </w:p>
    <w:p w14:paraId="16B981CB" w14:textId="77777777" w:rsidR="008F5741" w:rsidRPr="00CD4500" w:rsidRDefault="008F5741" w:rsidP="008F5741">
      <w:pPr>
        <w:pStyle w:val="Prrafodelista"/>
        <w:numPr>
          <w:ilvl w:val="0"/>
          <w:numId w:val="4"/>
        </w:numPr>
        <w:ind w:hanging="294"/>
        <w:jc w:val="both"/>
        <w:rPr>
          <w:rFonts w:eastAsia="Calibri"/>
          <w:sz w:val="20"/>
          <w:szCs w:val="22"/>
        </w:rPr>
      </w:pPr>
      <w:r w:rsidRPr="00CD4500">
        <w:rPr>
          <w:rFonts w:eastAsia="Calibri"/>
          <w:sz w:val="20"/>
          <w:szCs w:val="22"/>
        </w:rPr>
        <w:t>Plan de ordenamiento territorial de la Ciudad de Medellín</w:t>
      </w:r>
    </w:p>
    <w:p w14:paraId="65B4F7CD" w14:textId="77777777" w:rsidR="008F5741" w:rsidRPr="00CD4500" w:rsidRDefault="008F5741" w:rsidP="008F5741">
      <w:pPr>
        <w:pStyle w:val="Prrafodelista"/>
        <w:numPr>
          <w:ilvl w:val="0"/>
          <w:numId w:val="4"/>
        </w:numPr>
        <w:ind w:hanging="294"/>
        <w:jc w:val="both"/>
        <w:rPr>
          <w:rFonts w:eastAsia="Calibri"/>
          <w:sz w:val="20"/>
          <w:szCs w:val="22"/>
        </w:rPr>
      </w:pPr>
      <w:r w:rsidRPr="00CD4500">
        <w:rPr>
          <w:rFonts w:eastAsia="Calibri"/>
          <w:sz w:val="20"/>
          <w:szCs w:val="22"/>
        </w:rPr>
        <w:t>Estatuto de construcción de la ciudad de Medellín que rige para las curadurías</w:t>
      </w:r>
    </w:p>
    <w:p w14:paraId="6A935002" w14:textId="77777777" w:rsidR="008F5741" w:rsidRPr="00CD4500" w:rsidRDefault="008F5741" w:rsidP="008F5741">
      <w:pPr>
        <w:pStyle w:val="Prrafodelista"/>
        <w:numPr>
          <w:ilvl w:val="0"/>
          <w:numId w:val="4"/>
        </w:numPr>
        <w:ind w:hanging="294"/>
        <w:jc w:val="both"/>
        <w:rPr>
          <w:rFonts w:eastAsia="Calibri"/>
          <w:sz w:val="20"/>
          <w:szCs w:val="22"/>
        </w:rPr>
      </w:pPr>
      <w:r w:rsidRPr="00CD4500">
        <w:rPr>
          <w:rFonts w:eastAsia="Calibri"/>
          <w:sz w:val="20"/>
          <w:szCs w:val="22"/>
        </w:rPr>
        <w:t>Banco de proyectos de la Universidad</w:t>
      </w:r>
    </w:p>
    <w:p w14:paraId="30714314" w14:textId="77777777" w:rsidR="008F5741" w:rsidRPr="00CD4500" w:rsidRDefault="008F5741" w:rsidP="008F5741">
      <w:pPr>
        <w:pStyle w:val="Prrafodelista"/>
        <w:numPr>
          <w:ilvl w:val="0"/>
          <w:numId w:val="4"/>
        </w:numPr>
        <w:ind w:hanging="294"/>
        <w:jc w:val="both"/>
        <w:rPr>
          <w:rFonts w:eastAsia="Calibri"/>
          <w:sz w:val="20"/>
          <w:szCs w:val="22"/>
        </w:rPr>
      </w:pPr>
      <w:r w:rsidRPr="00CD4500">
        <w:rPr>
          <w:rFonts w:eastAsia="Calibri"/>
          <w:sz w:val="20"/>
          <w:szCs w:val="22"/>
        </w:rPr>
        <w:t>Recomendaciones y normas ambientales del Área Metropolitana del Valle de Aburrá (AMVA)</w:t>
      </w:r>
    </w:p>
    <w:p w14:paraId="042734C1" w14:textId="77777777" w:rsidR="008F5741" w:rsidRPr="00CD4500" w:rsidRDefault="008F5741" w:rsidP="008F5741">
      <w:pPr>
        <w:pStyle w:val="Prrafodelista"/>
        <w:numPr>
          <w:ilvl w:val="0"/>
          <w:numId w:val="4"/>
        </w:numPr>
        <w:ind w:hanging="294"/>
        <w:jc w:val="both"/>
        <w:rPr>
          <w:rFonts w:eastAsia="Calibri"/>
          <w:sz w:val="20"/>
          <w:szCs w:val="22"/>
        </w:rPr>
      </w:pPr>
      <w:r w:rsidRPr="00CD4500">
        <w:rPr>
          <w:rFonts w:eastAsia="Calibri"/>
          <w:sz w:val="20"/>
          <w:szCs w:val="22"/>
        </w:rPr>
        <w:t>Recomendaciones y normas de salud del Ministerio de Salud y Protección Social y la Dirección Seccional de Salud de Antioquia.</w:t>
      </w:r>
    </w:p>
    <w:p w14:paraId="6F1F8576" w14:textId="77777777" w:rsidR="008F5741" w:rsidRPr="00CD4500" w:rsidRDefault="008F5741" w:rsidP="008F5741">
      <w:pPr>
        <w:pStyle w:val="Prrafodelista"/>
        <w:numPr>
          <w:ilvl w:val="0"/>
          <w:numId w:val="4"/>
        </w:numPr>
        <w:ind w:hanging="294"/>
        <w:jc w:val="both"/>
        <w:rPr>
          <w:rFonts w:eastAsia="Calibri"/>
          <w:sz w:val="20"/>
          <w:szCs w:val="22"/>
        </w:rPr>
      </w:pPr>
      <w:r w:rsidRPr="00CD4500">
        <w:rPr>
          <w:rFonts w:eastAsia="Calibri"/>
          <w:sz w:val="20"/>
          <w:szCs w:val="22"/>
        </w:rPr>
        <w:t>Normas Colombianas de Diseño y Construcciones Sismo Resistentes - NSR 10</w:t>
      </w:r>
    </w:p>
    <w:p w14:paraId="274FE64C" w14:textId="77777777" w:rsidR="008F5741" w:rsidRPr="00CD4500" w:rsidRDefault="008F5741" w:rsidP="008F5741">
      <w:pPr>
        <w:pStyle w:val="Prrafodelista"/>
        <w:numPr>
          <w:ilvl w:val="0"/>
          <w:numId w:val="4"/>
        </w:numPr>
        <w:ind w:hanging="294"/>
        <w:jc w:val="both"/>
        <w:rPr>
          <w:rFonts w:eastAsia="Calibri"/>
          <w:sz w:val="20"/>
          <w:szCs w:val="22"/>
        </w:rPr>
      </w:pPr>
      <w:r w:rsidRPr="00CD4500">
        <w:rPr>
          <w:rFonts w:eastAsia="Calibri"/>
          <w:sz w:val="20"/>
          <w:szCs w:val="22"/>
        </w:rPr>
        <w:t xml:space="preserve">Normas Técnicas para el Sector de Agua Potable y Saneamiento Básico – RAS, </w:t>
      </w:r>
    </w:p>
    <w:p w14:paraId="3F42B0C6" w14:textId="77777777" w:rsidR="008F5741" w:rsidRPr="00CD4500" w:rsidRDefault="008F5741" w:rsidP="008F5741">
      <w:pPr>
        <w:pStyle w:val="Prrafodelista"/>
        <w:numPr>
          <w:ilvl w:val="0"/>
          <w:numId w:val="4"/>
        </w:numPr>
        <w:ind w:hanging="294"/>
        <w:jc w:val="both"/>
        <w:rPr>
          <w:rFonts w:eastAsia="Calibri"/>
          <w:sz w:val="20"/>
          <w:szCs w:val="22"/>
        </w:rPr>
      </w:pPr>
      <w:r w:rsidRPr="00CD4500">
        <w:rPr>
          <w:rFonts w:eastAsia="Calibri"/>
          <w:sz w:val="20"/>
          <w:szCs w:val="22"/>
        </w:rPr>
        <w:t xml:space="preserve">Normas Técnicas de Instalaciones Eléctricas - RETIE 2013, </w:t>
      </w:r>
    </w:p>
    <w:p w14:paraId="7C847A7C" w14:textId="77777777" w:rsidR="008F5741" w:rsidRPr="00CD4500" w:rsidRDefault="008F5741" w:rsidP="008F5741">
      <w:pPr>
        <w:pStyle w:val="Prrafodelista"/>
        <w:numPr>
          <w:ilvl w:val="0"/>
          <w:numId w:val="4"/>
        </w:numPr>
        <w:ind w:hanging="294"/>
        <w:jc w:val="both"/>
        <w:rPr>
          <w:rFonts w:eastAsia="Calibri"/>
          <w:sz w:val="20"/>
          <w:szCs w:val="22"/>
        </w:rPr>
      </w:pPr>
      <w:r w:rsidRPr="00CD4500">
        <w:rPr>
          <w:rFonts w:eastAsia="Calibri"/>
          <w:sz w:val="20"/>
          <w:szCs w:val="22"/>
        </w:rPr>
        <w:t xml:space="preserve">Normas Técnicas Colombianas NTC 1500, Código Colombiano de Fontanería, Normatividad ambiental vigente, </w:t>
      </w:r>
    </w:p>
    <w:p w14:paraId="015BF018" w14:textId="77777777" w:rsidR="008F5741" w:rsidRPr="00CD4500" w:rsidRDefault="008F5741" w:rsidP="008F5741">
      <w:pPr>
        <w:pStyle w:val="Prrafodelista"/>
        <w:numPr>
          <w:ilvl w:val="0"/>
          <w:numId w:val="4"/>
        </w:numPr>
        <w:ind w:hanging="294"/>
        <w:jc w:val="both"/>
        <w:rPr>
          <w:rFonts w:eastAsia="Calibri"/>
          <w:sz w:val="20"/>
          <w:szCs w:val="22"/>
        </w:rPr>
      </w:pPr>
      <w:r w:rsidRPr="00CD4500">
        <w:rPr>
          <w:rFonts w:eastAsia="Calibri"/>
          <w:sz w:val="20"/>
          <w:szCs w:val="22"/>
        </w:rPr>
        <w:t xml:space="preserve">Normas de accesibilidad a personas con movilidad reducida, </w:t>
      </w:r>
    </w:p>
    <w:p w14:paraId="3F1684BD" w14:textId="77777777" w:rsidR="008F5741" w:rsidRPr="00CD4500" w:rsidRDefault="008F5741" w:rsidP="008F5741">
      <w:pPr>
        <w:pStyle w:val="Prrafodelista"/>
        <w:numPr>
          <w:ilvl w:val="0"/>
          <w:numId w:val="4"/>
        </w:numPr>
        <w:ind w:hanging="294"/>
        <w:jc w:val="both"/>
        <w:rPr>
          <w:rFonts w:eastAsia="Calibri"/>
          <w:sz w:val="20"/>
          <w:szCs w:val="22"/>
        </w:rPr>
      </w:pPr>
      <w:r w:rsidRPr="00CD4500">
        <w:rPr>
          <w:rFonts w:eastAsia="Calibri"/>
          <w:sz w:val="20"/>
          <w:szCs w:val="22"/>
        </w:rPr>
        <w:t xml:space="preserve">Reglamento de higiene y seguridad para la industria de la construcción, Resolución No. 02413 de 1979, del Ministerio de Trabajo y Seguridad Social de Colombia, </w:t>
      </w:r>
    </w:p>
    <w:p w14:paraId="5DEF0D18" w14:textId="77777777" w:rsidR="008F5741" w:rsidRPr="00CD4500" w:rsidRDefault="008F5741" w:rsidP="008F5741">
      <w:pPr>
        <w:pStyle w:val="Prrafodelista"/>
        <w:numPr>
          <w:ilvl w:val="0"/>
          <w:numId w:val="4"/>
        </w:numPr>
        <w:ind w:hanging="294"/>
        <w:jc w:val="both"/>
        <w:rPr>
          <w:rFonts w:eastAsia="Calibri"/>
          <w:sz w:val="20"/>
          <w:szCs w:val="22"/>
        </w:rPr>
      </w:pPr>
      <w:r w:rsidRPr="00CD4500">
        <w:rPr>
          <w:rFonts w:eastAsia="Calibri"/>
          <w:sz w:val="20"/>
          <w:szCs w:val="22"/>
        </w:rPr>
        <w:t xml:space="preserve">Manual de Señalización Vial (Resolución 1050 de 2004), </w:t>
      </w:r>
    </w:p>
    <w:p w14:paraId="36D62D22" w14:textId="77777777" w:rsidR="008F5741" w:rsidRDefault="008F5741" w:rsidP="008F5741">
      <w:pPr>
        <w:pStyle w:val="Prrafodelista"/>
        <w:numPr>
          <w:ilvl w:val="0"/>
          <w:numId w:val="4"/>
        </w:numPr>
        <w:spacing w:after="160" w:line="259" w:lineRule="auto"/>
        <w:ind w:hanging="294"/>
        <w:jc w:val="both"/>
        <w:rPr>
          <w:rFonts w:eastAsia="Calibri"/>
          <w:sz w:val="20"/>
          <w:szCs w:val="22"/>
        </w:rPr>
        <w:sectPr w:rsidR="008F5741" w:rsidSect="006D23CA">
          <w:headerReference w:type="default" r:id="rId15"/>
          <w:footerReference w:type="default" r:id="rId16"/>
          <w:pgSz w:w="12240" w:h="15840"/>
          <w:pgMar w:top="1843" w:right="1701" w:bottom="1134" w:left="1701" w:header="454" w:footer="340" w:gutter="0"/>
          <w:pgNumType w:start="1"/>
          <w:cols w:space="708"/>
          <w:docGrid w:linePitch="360"/>
        </w:sectPr>
      </w:pPr>
      <w:r w:rsidRPr="00CD4500">
        <w:rPr>
          <w:rFonts w:eastAsia="Calibri"/>
          <w:sz w:val="20"/>
          <w:szCs w:val="22"/>
        </w:rPr>
        <w:t>Normas Técnicas Colombianas NTC, o en su defecto, con las Normas ASTM (American Society for Testing and Materials).</w:t>
      </w:r>
      <w:bookmarkStart w:id="3" w:name="_GoBack"/>
      <w:bookmarkEnd w:id="3"/>
    </w:p>
    <w:p w14:paraId="518E3BE8" w14:textId="77777777" w:rsidR="008F5741" w:rsidRPr="00DB4BDD" w:rsidRDefault="008F5741" w:rsidP="004324CB">
      <w:pPr>
        <w:jc w:val="both"/>
        <w:rPr>
          <w:sz w:val="18"/>
        </w:rPr>
      </w:pPr>
    </w:p>
    <w:p w14:paraId="589D02DB" w14:textId="77777777" w:rsidR="008F5741" w:rsidRPr="00F0025F" w:rsidRDefault="008F5741" w:rsidP="008F5741">
      <w:pPr>
        <w:pStyle w:val="Ttulo1"/>
        <w:numPr>
          <w:ilvl w:val="0"/>
          <w:numId w:val="6"/>
        </w:numPr>
        <w:spacing w:before="0"/>
        <w:ind w:left="426" w:hanging="426"/>
        <w:rPr>
          <w:rFonts w:ascii="Times New Roman" w:hAnsi="Times New Roman" w:cs="Times New Roman"/>
          <w:b/>
          <w:color w:val="385623" w:themeColor="accent6" w:themeShade="80"/>
          <w:sz w:val="24"/>
        </w:rPr>
      </w:pPr>
      <w:bookmarkStart w:id="4" w:name="_Toc526516461"/>
      <w:r w:rsidRPr="00F0025F">
        <w:rPr>
          <w:rFonts w:ascii="Times New Roman" w:hAnsi="Times New Roman" w:cs="Times New Roman"/>
          <w:b/>
          <w:color w:val="385623" w:themeColor="accent6" w:themeShade="80"/>
          <w:sz w:val="24"/>
        </w:rPr>
        <w:t>METODOLOG</w:t>
      </w:r>
      <w:r>
        <w:rPr>
          <w:rFonts w:ascii="Times New Roman" w:hAnsi="Times New Roman" w:cs="Times New Roman"/>
          <w:b/>
          <w:color w:val="385623" w:themeColor="accent6" w:themeShade="80"/>
          <w:sz w:val="24"/>
        </w:rPr>
        <w:t>Í</w:t>
      </w:r>
      <w:r w:rsidRPr="00F0025F">
        <w:rPr>
          <w:rFonts w:ascii="Times New Roman" w:hAnsi="Times New Roman" w:cs="Times New Roman"/>
          <w:b/>
          <w:color w:val="385623" w:themeColor="accent6" w:themeShade="80"/>
          <w:sz w:val="24"/>
        </w:rPr>
        <w:t>A</w:t>
      </w:r>
      <w:bookmarkEnd w:id="4"/>
    </w:p>
    <w:p w14:paraId="1A8361A7" w14:textId="77777777" w:rsidR="008F5741" w:rsidRPr="005778E0" w:rsidRDefault="008F5741" w:rsidP="008F5741">
      <w:pPr>
        <w:pStyle w:val="Prrafodelista"/>
        <w:ind w:left="284"/>
        <w:rPr>
          <w:b/>
          <w:color w:val="385623" w:themeColor="accent6" w:themeShade="80"/>
          <w:sz w:val="20"/>
        </w:rPr>
      </w:pPr>
    </w:p>
    <w:p w14:paraId="3D461231" w14:textId="77777777" w:rsidR="008F5741" w:rsidRPr="004E4F2B" w:rsidRDefault="008F5741" w:rsidP="008F5741">
      <w:pPr>
        <w:pStyle w:val="Prrafodelista"/>
        <w:numPr>
          <w:ilvl w:val="0"/>
          <w:numId w:val="4"/>
        </w:numPr>
        <w:ind w:hanging="294"/>
        <w:jc w:val="both"/>
        <w:rPr>
          <w:rFonts w:eastAsia="Calibri"/>
          <w:sz w:val="22"/>
          <w:szCs w:val="22"/>
        </w:rPr>
      </w:pPr>
      <w:r w:rsidRPr="004E4F2B">
        <w:rPr>
          <w:rFonts w:eastAsia="Calibri"/>
          <w:sz w:val="22"/>
          <w:szCs w:val="22"/>
        </w:rPr>
        <w:t>Visita</w:t>
      </w:r>
      <w:r>
        <w:rPr>
          <w:rFonts w:eastAsia="Calibri"/>
          <w:sz w:val="22"/>
          <w:szCs w:val="22"/>
        </w:rPr>
        <w:t>r</w:t>
      </w:r>
      <w:r w:rsidRPr="004E4F2B">
        <w:rPr>
          <w:rFonts w:eastAsia="Calibri"/>
          <w:sz w:val="22"/>
          <w:szCs w:val="22"/>
        </w:rPr>
        <w:t xml:space="preserve"> la Facultad Nacional de Salud Pública. </w:t>
      </w:r>
    </w:p>
    <w:p w14:paraId="4434C96D" w14:textId="77777777" w:rsidR="008F5741" w:rsidRPr="004E4F2B" w:rsidRDefault="008F5741" w:rsidP="008F5741">
      <w:pPr>
        <w:pStyle w:val="Prrafodelista"/>
        <w:numPr>
          <w:ilvl w:val="0"/>
          <w:numId w:val="4"/>
        </w:numPr>
        <w:ind w:hanging="294"/>
        <w:jc w:val="both"/>
        <w:rPr>
          <w:rFonts w:eastAsia="Calibri"/>
          <w:sz w:val="22"/>
          <w:szCs w:val="22"/>
        </w:rPr>
      </w:pPr>
      <w:r w:rsidRPr="004E4F2B">
        <w:rPr>
          <w:rFonts w:eastAsia="Calibri"/>
          <w:sz w:val="22"/>
          <w:szCs w:val="22"/>
        </w:rPr>
        <w:t xml:space="preserve">Compilar </w:t>
      </w:r>
      <w:r>
        <w:rPr>
          <w:rFonts w:eastAsia="Calibri"/>
          <w:sz w:val="22"/>
          <w:szCs w:val="22"/>
        </w:rPr>
        <w:t xml:space="preserve">y analizar </w:t>
      </w:r>
      <w:r w:rsidRPr="004E4F2B">
        <w:rPr>
          <w:rFonts w:eastAsia="Calibri"/>
          <w:sz w:val="22"/>
          <w:szCs w:val="22"/>
        </w:rPr>
        <w:t>los actos administrativos relacionados</w:t>
      </w:r>
    </w:p>
    <w:p w14:paraId="38203C74" w14:textId="77777777" w:rsidR="008F5741" w:rsidRPr="00500978" w:rsidRDefault="008F5741" w:rsidP="008F5741">
      <w:pPr>
        <w:pStyle w:val="Prrafodelista"/>
        <w:numPr>
          <w:ilvl w:val="0"/>
          <w:numId w:val="8"/>
        </w:numPr>
        <w:spacing w:after="100" w:afterAutospacing="1"/>
        <w:ind w:left="709" w:hanging="283"/>
        <w:jc w:val="both"/>
        <w:rPr>
          <w:b/>
          <w:color w:val="385623" w:themeColor="accent6" w:themeShade="80"/>
          <w:sz w:val="20"/>
        </w:rPr>
      </w:pPr>
      <w:r w:rsidRPr="00C014D2">
        <w:rPr>
          <w:rFonts w:eastAsia="Calibri"/>
          <w:sz w:val="22"/>
        </w:rPr>
        <w:t xml:space="preserve">Consolidar la información relacionada con el proyecto del complejo de la salud y dispuesta por </w:t>
      </w:r>
      <w:r w:rsidRPr="00C014D2">
        <w:rPr>
          <w:sz w:val="22"/>
        </w:rPr>
        <w:t>la Vicerrectoría General</w:t>
      </w:r>
      <w:r>
        <w:rPr>
          <w:sz w:val="22"/>
        </w:rPr>
        <w:t>,</w:t>
      </w:r>
      <w:r w:rsidRPr="00C014D2">
        <w:rPr>
          <w:sz w:val="22"/>
        </w:rPr>
        <w:t xml:space="preserve"> la Vicerrectoría Administrativa</w:t>
      </w:r>
      <w:r>
        <w:rPr>
          <w:sz w:val="22"/>
        </w:rPr>
        <w:t xml:space="preserve">, la </w:t>
      </w:r>
      <w:r>
        <w:rPr>
          <w:sz w:val="22"/>
          <w:szCs w:val="22"/>
        </w:rPr>
        <w:t>Facultad Nacional de Salud Pública,</w:t>
      </w:r>
      <w:r w:rsidRPr="00B81A79">
        <w:rPr>
          <w:sz w:val="22"/>
          <w:szCs w:val="22"/>
        </w:rPr>
        <w:t xml:space="preserve"> la Directora General y Gerencia Técnica del Proyecto</w:t>
      </w:r>
    </w:p>
    <w:p w14:paraId="47BC1085" w14:textId="77777777" w:rsidR="008F5741" w:rsidRPr="005B775B" w:rsidRDefault="008F5741" w:rsidP="008F5741">
      <w:pPr>
        <w:pStyle w:val="Prrafodelista"/>
        <w:numPr>
          <w:ilvl w:val="0"/>
          <w:numId w:val="8"/>
        </w:numPr>
        <w:spacing w:after="100" w:afterAutospacing="1"/>
        <w:ind w:left="709" w:hanging="283"/>
        <w:rPr>
          <w:b/>
          <w:color w:val="385623" w:themeColor="accent6" w:themeShade="80"/>
          <w:sz w:val="20"/>
        </w:rPr>
      </w:pPr>
      <w:r>
        <w:rPr>
          <w:sz w:val="22"/>
        </w:rPr>
        <w:t>Revisar el</w:t>
      </w:r>
      <w:r w:rsidRPr="00C014D2">
        <w:rPr>
          <w:sz w:val="22"/>
        </w:rPr>
        <w:t xml:space="preserve"> funcionamiento de los Comités creados para el proyecto</w:t>
      </w:r>
      <w:r>
        <w:rPr>
          <w:sz w:val="22"/>
        </w:rPr>
        <w:t>.</w:t>
      </w:r>
    </w:p>
    <w:p w14:paraId="14D2AB1E" w14:textId="77777777" w:rsidR="008F5741" w:rsidRPr="00F07FA4" w:rsidRDefault="008F5741" w:rsidP="008F5741">
      <w:pPr>
        <w:pStyle w:val="Prrafodelista"/>
        <w:numPr>
          <w:ilvl w:val="0"/>
          <w:numId w:val="8"/>
        </w:numPr>
        <w:spacing w:after="100" w:afterAutospacing="1"/>
        <w:ind w:left="709" w:hanging="283"/>
        <w:rPr>
          <w:b/>
          <w:color w:val="385623" w:themeColor="accent6" w:themeShade="80"/>
          <w:sz w:val="20"/>
        </w:rPr>
      </w:pPr>
      <w:r>
        <w:rPr>
          <w:sz w:val="22"/>
        </w:rPr>
        <w:t>Evaluar la información suministrada desde la gerencia técnica del proyecto.</w:t>
      </w:r>
    </w:p>
    <w:p w14:paraId="70FB477B" w14:textId="77777777" w:rsidR="008F5741" w:rsidRPr="00E61B1A" w:rsidRDefault="008F5741" w:rsidP="008F5741">
      <w:pPr>
        <w:pStyle w:val="Prrafodelista"/>
        <w:numPr>
          <w:ilvl w:val="0"/>
          <w:numId w:val="8"/>
        </w:numPr>
        <w:spacing w:after="100" w:afterAutospacing="1"/>
        <w:ind w:left="709" w:hanging="283"/>
        <w:jc w:val="both"/>
        <w:rPr>
          <w:color w:val="000000"/>
          <w:sz w:val="22"/>
          <w:szCs w:val="22"/>
        </w:rPr>
      </w:pPr>
      <w:r w:rsidRPr="00274C12">
        <w:rPr>
          <w:sz w:val="22"/>
          <w:szCs w:val="22"/>
        </w:rPr>
        <w:t>Evalua</w:t>
      </w:r>
      <w:r>
        <w:rPr>
          <w:sz w:val="22"/>
          <w:szCs w:val="22"/>
        </w:rPr>
        <w:t>r</w:t>
      </w:r>
      <w:r w:rsidRPr="00274C12">
        <w:rPr>
          <w:sz w:val="22"/>
          <w:szCs w:val="22"/>
        </w:rPr>
        <w:t xml:space="preserve"> los informes de interventoría y/o supervisión</w:t>
      </w:r>
      <w:r>
        <w:rPr>
          <w:sz w:val="22"/>
          <w:szCs w:val="22"/>
        </w:rPr>
        <w:t xml:space="preserve"> haciendo énfasis en aspectos como revisión del</w:t>
      </w:r>
      <w:r w:rsidRPr="00274C12">
        <w:rPr>
          <w:sz w:val="22"/>
          <w:szCs w:val="22"/>
        </w:rPr>
        <w:t xml:space="preserve"> cronograma, presupuesto y estado de avance de los diseños</w:t>
      </w:r>
      <w:r>
        <w:rPr>
          <w:sz w:val="22"/>
          <w:szCs w:val="22"/>
        </w:rPr>
        <w:t>, pertinencia y secuencia de estudios técnicos complementarios</w:t>
      </w:r>
      <w:r w:rsidRPr="00274C12">
        <w:rPr>
          <w:sz w:val="22"/>
          <w:szCs w:val="22"/>
        </w:rPr>
        <w:t xml:space="preserve"> </w:t>
      </w:r>
      <w:r>
        <w:rPr>
          <w:sz w:val="22"/>
          <w:szCs w:val="22"/>
        </w:rPr>
        <w:t xml:space="preserve">como levantamiento topográfico y </w:t>
      </w:r>
      <w:r w:rsidRPr="00274C12">
        <w:rPr>
          <w:sz w:val="22"/>
          <w:szCs w:val="22"/>
        </w:rPr>
        <w:t>estudios de suelos</w:t>
      </w:r>
      <w:r>
        <w:rPr>
          <w:sz w:val="22"/>
          <w:szCs w:val="22"/>
        </w:rPr>
        <w:t>,</w:t>
      </w:r>
      <w:r w:rsidRPr="00274C12">
        <w:rPr>
          <w:sz w:val="22"/>
          <w:szCs w:val="22"/>
        </w:rPr>
        <w:t xml:space="preserve"> diseño arquitectónico y estructural</w:t>
      </w:r>
      <w:r>
        <w:rPr>
          <w:sz w:val="22"/>
          <w:szCs w:val="22"/>
        </w:rPr>
        <w:t xml:space="preserve"> (planos a la fecha),</w:t>
      </w:r>
      <w:r w:rsidRPr="00274C12">
        <w:rPr>
          <w:sz w:val="22"/>
          <w:szCs w:val="22"/>
        </w:rPr>
        <w:t xml:space="preserve"> diseño de redes, urban</w:t>
      </w:r>
      <w:r>
        <w:rPr>
          <w:sz w:val="22"/>
          <w:szCs w:val="22"/>
        </w:rPr>
        <w:t>ismo,</w:t>
      </w:r>
      <w:r w:rsidRPr="00274C12">
        <w:rPr>
          <w:sz w:val="22"/>
          <w:szCs w:val="22"/>
        </w:rPr>
        <w:t xml:space="preserve"> estudios de oferta y demanda</w:t>
      </w:r>
      <w:r>
        <w:rPr>
          <w:sz w:val="22"/>
          <w:szCs w:val="22"/>
        </w:rPr>
        <w:t>,</w:t>
      </w:r>
      <w:r w:rsidRPr="00274C12">
        <w:rPr>
          <w:sz w:val="22"/>
          <w:szCs w:val="22"/>
        </w:rPr>
        <w:t xml:space="preserve"> </w:t>
      </w:r>
      <w:r w:rsidRPr="00274C12">
        <w:rPr>
          <w:color w:val="000000"/>
          <w:sz w:val="22"/>
          <w:szCs w:val="22"/>
        </w:rPr>
        <w:t>pr</w:t>
      </w:r>
      <w:r>
        <w:rPr>
          <w:color w:val="000000"/>
          <w:sz w:val="22"/>
          <w:szCs w:val="22"/>
        </w:rPr>
        <w:t>esupuesto de obra del proyecto</w:t>
      </w:r>
      <w:r>
        <w:rPr>
          <w:sz w:val="22"/>
          <w:szCs w:val="22"/>
        </w:rPr>
        <w:t>.</w:t>
      </w:r>
    </w:p>
    <w:p w14:paraId="72F2329D" w14:textId="5DB358E1" w:rsidR="008F5741" w:rsidRPr="009D4AFB" w:rsidRDefault="009D4AFB" w:rsidP="008F5741">
      <w:pPr>
        <w:pStyle w:val="Prrafodelista"/>
        <w:numPr>
          <w:ilvl w:val="0"/>
          <w:numId w:val="8"/>
        </w:numPr>
        <w:spacing w:after="100" w:afterAutospacing="1"/>
        <w:ind w:left="709" w:hanging="283"/>
        <w:jc w:val="both"/>
        <w:rPr>
          <w:color w:val="000000"/>
          <w:sz w:val="22"/>
          <w:szCs w:val="22"/>
        </w:rPr>
      </w:pPr>
      <w:r w:rsidRPr="009D4AFB">
        <w:rPr>
          <w:sz w:val="22"/>
          <w:szCs w:val="22"/>
        </w:rPr>
        <w:t>Evaluar la p</w:t>
      </w:r>
      <w:r w:rsidR="008F5741" w:rsidRPr="009D4AFB">
        <w:rPr>
          <w:sz w:val="22"/>
          <w:szCs w:val="22"/>
        </w:rPr>
        <w:t>royec</w:t>
      </w:r>
      <w:r w:rsidRPr="009D4AFB">
        <w:rPr>
          <w:sz w:val="22"/>
          <w:szCs w:val="22"/>
        </w:rPr>
        <w:t>ción</w:t>
      </w:r>
      <w:r w:rsidR="008F5741" w:rsidRPr="009D4AFB">
        <w:rPr>
          <w:sz w:val="22"/>
          <w:szCs w:val="22"/>
        </w:rPr>
        <w:t xml:space="preserve"> posterior a la construcción y funcionamiento: dotación del inmueble y funcionamiento de este,</w:t>
      </w:r>
      <w:r w:rsidR="008F5741" w:rsidRPr="009D4AFB">
        <w:rPr>
          <w:color w:val="000000"/>
          <w:sz w:val="22"/>
          <w:szCs w:val="22"/>
        </w:rPr>
        <w:t xml:space="preserve"> organigrama y personal de funcionamiento del inmueble, sostenimiento y mantenimiento.</w:t>
      </w:r>
    </w:p>
    <w:p w14:paraId="508CB7D5" w14:textId="77777777" w:rsidR="008F5741" w:rsidRDefault="008F5741" w:rsidP="008F5741">
      <w:pPr>
        <w:pStyle w:val="Prrafodelista"/>
        <w:numPr>
          <w:ilvl w:val="0"/>
          <w:numId w:val="8"/>
        </w:numPr>
        <w:spacing w:after="100" w:afterAutospacing="1"/>
        <w:ind w:left="709" w:hanging="283"/>
        <w:jc w:val="both"/>
        <w:rPr>
          <w:color w:val="000000"/>
          <w:sz w:val="22"/>
          <w:szCs w:val="22"/>
        </w:rPr>
      </w:pPr>
      <w:r w:rsidRPr="009D4AFB">
        <w:rPr>
          <w:color w:val="000000"/>
          <w:sz w:val="22"/>
          <w:szCs w:val="22"/>
        </w:rPr>
        <w:t>Realizar lectura y análisis del consolidado</w:t>
      </w:r>
      <w:r>
        <w:rPr>
          <w:color w:val="000000"/>
          <w:sz w:val="22"/>
          <w:szCs w:val="22"/>
        </w:rPr>
        <w:t xml:space="preserve"> de actas y comités de seguimiento.</w:t>
      </w:r>
    </w:p>
    <w:p w14:paraId="41753787" w14:textId="77777777" w:rsidR="008F5741" w:rsidRDefault="008F5741" w:rsidP="008F5741">
      <w:pPr>
        <w:pStyle w:val="Prrafodelista"/>
        <w:numPr>
          <w:ilvl w:val="0"/>
          <w:numId w:val="8"/>
        </w:numPr>
        <w:ind w:left="709" w:hanging="283"/>
        <w:jc w:val="both"/>
        <w:rPr>
          <w:color w:val="000000"/>
          <w:sz w:val="22"/>
          <w:szCs w:val="22"/>
        </w:rPr>
      </w:pPr>
      <w:r>
        <w:rPr>
          <w:color w:val="000000"/>
          <w:sz w:val="22"/>
          <w:szCs w:val="22"/>
        </w:rPr>
        <w:t>Realizar lectura y análisis de la correspondencia generada en el desarrollo del proyecto.</w:t>
      </w:r>
    </w:p>
    <w:p w14:paraId="48E00504" w14:textId="77777777" w:rsidR="008F5741" w:rsidRPr="00767BBE" w:rsidRDefault="008F5741" w:rsidP="008F5741">
      <w:pPr>
        <w:jc w:val="both"/>
        <w:rPr>
          <w:sz w:val="18"/>
        </w:rPr>
      </w:pPr>
    </w:p>
    <w:p w14:paraId="552D5586" w14:textId="77777777" w:rsidR="008F5741" w:rsidRPr="00767BBE" w:rsidRDefault="008F5741" w:rsidP="008F5741">
      <w:pPr>
        <w:jc w:val="both"/>
        <w:rPr>
          <w:sz w:val="18"/>
        </w:rPr>
      </w:pPr>
    </w:p>
    <w:p w14:paraId="4736E52C" w14:textId="77777777" w:rsidR="008F5741" w:rsidRPr="00F0025F" w:rsidRDefault="008F5741" w:rsidP="008F5741">
      <w:pPr>
        <w:pStyle w:val="Ttulo1"/>
        <w:numPr>
          <w:ilvl w:val="0"/>
          <w:numId w:val="6"/>
        </w:numPr>
        <w:spacing w:before="0"/>
        <w:ind w:left="426" w:hanging="426"/>
        <w:rPr>
          <w:rFonts w:ascii="Times New Roman" w:hAnsi="Times New Roman" w:cs="Times New Roman"/>
          <w:b/>
          <w:color w:val="385623" w:themeColor="accent6" w:themeShade="80"/>
          <w:sz w:val="24"/>
        </w:rPr>
      </w:pPr>
      <w:bookmarkStart w:id="5" w:name="_Toc523249580"/>
      <w:bookmarkStart w:id="6" w:name="_Toc526516462"/>
      <w:bookmarkEnd w:id="5"/>
      <w:r w:rsidRPr="00F0025F">
        <w:rPr>
          <w:rFonts w:ascii="Times New Roman" w:hAnsi="Times New Roman" w:cs="Times New Roman"/>
          <w:b/>
          <w:color w:val="385623" w:themeColor="accent6" w:themeShade="80"/>
          <w:sz w:val="24"/>
        </w:rPr>
        <w:t>ANTECEDENTES</w:t>
      </w:r>
      <w:bookmarkEnd w:id="6"/>
    </w:p>
    <w:p w14:paraId="2002AD9E" w14:textId="77777777" w:rsidR="008F5741" w:rsidRPr="00C014D2" w:rsidRDefault="008F5741" w:rsidP="008F5741">
      <w:pPr>
        <w:jc w:val="both"/>
        <w:rPr>
          <w:sz w:val="22"/>
        </w:rPr>
      </w:pPr>
    </w:p>
    <w:p w14:paraId="21CB37B4" w14:textId="77777777" w:rsidR="008F5741" w:rsidRPr="00C014D2" w:rsidRDefault="008F5741" w:rsidP="008F5741">
      <w:pPr>
        <w:jc w:val="both"/>
        <w:rPr>
          <w:sz w:val="22"/>
        </w:rPr>
      </w:pPr>
      <w:r>
        <w:rPr>
          <w:rFonts w:eastAsia="Calibri"/>
          <w:sz w:val="22"/>
        </w:rPr>
        <w:t>A nivel institucional</w:t>
      </w:r>
      <w:r w:rsidRPr="00C014D2">
        <w:rPr>
          <w:rFonts w:eastAsia="Calibri"/>
          <w:sz w:val="22"/>
        </w:rPr>
        <w:t xml:space="preserve"> se conoce la situación </w:t>
      </w:r>
      <w:r>
        <w:rPr>
          <w:rFonts w:eastAsia="Calibri"/>
          <w:sz w:val="22"/>
        </w:rPr>
        <w:t>de</w:t>
      </w:r>
      <w:r w:rsidRPr="00C014D2">
        <w:rPr>
          <w:sz w:val="22"/>
        </w:rPr>
        <w:t xml:space="preserve"> la Facultad Nacional de Salud Pública,</w:t>
      </w:r>
      <w:r>
        <w:rPr>
          <w:sz w:val="22"/>
        </w:rPr>
        <w:t xml:space="preserve"> relacionada con </w:t>
      </w:r>
      <w:r w:rsidRPr="00C014D2">
        <w:rPr>
          <w:sz w:val="22"/>
        </w:rPr>
        <w:t xml:space="preserve">la </w:t>
      </w:r>
      <w:r>
        <w:rPr>
          <w:sz w:val="22"/>
        </w:rPr>
        <w:t>infraestructura</w:t>
      </w:r>
      <w:r w:rsidRPr="00C014D2">
        <w:rPr>
          <w:sz w:val="22"/>
        </w:rPr>
        <w:t xml:space="preserve"> de la edificaci</w:t>
      </w:r>
      <w:r>
        <w:rPr>
          <w:sz w:val="22"/>
        </w:rPr>
        <w:t>ó</w:t>
      </w:r>
      <w:r w:rsidRPr="00C014D2">
        <w:rPr>
          <w:sz w:val="22"/>
        </w:rPr>
        <w:t xml:space="preserve">n, </w:t>
      </w:r>
      <w:r w:rsidRPr="00C014D2">
        <w:rPr>
          <w:rFonts w:eastAsia="Calibri"/>
          <w:sz w:val="22"/>
        </w:rPr>
        <w:t>nivel de riesgo por vulnerabilidad sísmica</w:t>
      </w:r>
      <w:r>
        <w:rPr>
          <w:rFonts w:eastAsia="Calibri"/>
          <w:sz w:val="22"/>
        </w:rPr>
        <w:t>,</w:t>
      </w:r>
      <w:r w:rsidRPr="00C014D2">
        <w:rPr>
          <w:rFonts w:eastAsia="Calibri"/>
          <w:sz w:val="22"/>
        </w:rPr>
        <w:t xml:space="preserve"> insuficiencias en la capacidad instalada versus el volumen de actividades, entre otros</w:t>
      </w:r>
      <w:r>
        <w:rPr>
          <w:rFonts w:eastAsia="Calibri"/>
          <w:sz w:val="22"/>
        </w:rPr>
        <w:t xml:space="preserve">. A través del </w:t>
      </w:r>
      <w:r w:rsidRPr="00C014D2">
        <w:rPr>
          <w:sz w:val="22"/>
        </w:rPr>
        <w:t>considerando 5</w:t>
      </w:r>
      <w:r>
        <w:rPr>
          <w:sz w:val="22"/>
        </w:rPr>
        <w:t xml:space="preserve"> </w:t>
      </w:r>
      <w:r>
        <w:rPr>
          <w:rFonts w:eastAsia="Calibri"/>
          <w:sz w:val="22"/>
        </w:rPr>
        <w:t>de l</w:t>
      </w:r>
      <w:r w:rsidRPr="00C014D2">
        <w:rPr>
          <w:sz w:val="22"/>
        </w:rPr>
        <w:t xml:space="preserve">a Resolución Superior 1915 del 12 de marzo de 2014, </w:t>
      </w:r>
      <w:r>
        <w:rPr>
          <w:sz w:val="22"/>
        </w:rPr>
        <w:t xml:space="preserve">se </w:t>
      </w:r>
      <w:r w:rsidRPr="00C014D2">
        <w:rPr>
          <w:sz w:val="22"/>
        </w:rPr>
        <w:t>autorizó al Rector para adquirir el inmueble de la antigua Editorial Bedout</w:t>
      </w:r>
      <w:r>
        <w:rPr>
          <w:sz w:val="22"/>
        </w:rPr>
        <w:t>,</w:t>
      </w:r>
      <w:r w:rsidRPr="00C014D2">
        <w:rPr>
          <w:sz w:val="22"/>
        </w:rPr>
        <w:t xml:space="preserve"> </w:t>
      </w:r>
      <w:r>
        <w:rPr>
          <w:sz w:val="22"/>
        </w:rPr>
        <w:t xml:space="preserve">éste </w:t>
      </w:r>
      <w:r w:rsidRPr="00C014D2">
        <w:rPr>
          <w:sz w:val="22"/>
        </w:rPr>
        <w:t>expresa: “</w:t>
      </w:r>
      <w:r w:rsidRPr="00C014D2">
        <w:rPr>
          <w:i/>
          <w:sz w:val="22"/>
        </w:rPr>
        <w:t>El Consejo de la Facultad Nacional de Salud Pública ha considerado viable la adquisición del referido inmueble</w:t>
      </w:r>
      <w:r w:rsidRPr="00C014D2">
        <w:rPr>
          <w:sz w:val="22"/>
        </w:rPr>
        <w:t>”.</w:t>
      </w:r>
    </w:p>
    <w:p w14:paraId="0C24BBCD" w14:textId="77777777" w:rsidR="008F5741" w:rsidRPr="00C014D2" w:rsidRDefault="008F5741" w:rsidP="008F5741">
      <w:pPr>
        <w:jc w:val="both"/>
        <w:rPr>
          <w:rFonts w:eastAsia="Calibri"/>
          <w:sz w:val="22"/>
        </w:rPr>
      </w:pPr>
    </w:p>
    <w:p w14:paraId="78455EEB" w14:textId="77777777" w:rsidR="008F5741" w:rsidRDefault="008F5741" w:rsidP="008F5741">
      <w:pPr>
        <w:jc w:val="both"/>
        <w:rPr>
          <w:rFonts w:eastAsia="Calibri"/>
          <w:sz w:val="22"/>
        </w:rPr>
      </w:pPr>
      <w:r>
        <w:rPr>
          <w:rFonts w:eastAsia="Calibri"/>
          <w:sz w:val="22"/>
        </w:rPr>
        <w:t>Así mismo,</w:t>
      </w:r>
      <w:r w:rsidRPr="00EF1C11">
        <w:rPr>
          <w:rFonts w:eastAsia="Calibri"/>
          <w:sz w:val="22"/>
        </w:rPr>
        <w:t xml:space="preserve"> es importante citar la conclusión </w:t>
      </w:r>
      <w:r>
        <w:rPr>
          <w:rFonts w:eastAsia="Calibri"/>
          <w:sz w:val="22"/>
        </w:rPr>
        <w:t>d</w:t>
      </w:r>
      <w:r w:rsidRPr="00EF1C11">
        <w:rPr>
          <w:rFonts w:eastAsia="Calibri"/>
          <w:sz w:val="22"/>
        </w:rPr>
        <w:t>el estudio</w:t>
      </w:r>
      <w:r>
        <w:rPr>
          <w:rFonts w:eastAsia="Calibri"/>
          <w:sz w:val="22"/>
        </w:rPr>
        <w:t xml:space="preserve"> </w:t>
      </w:r>
      <w:r w:rsidRPr="00EF1C11">
        <w:rPr>
          <w:rFonts w:eastAsia="Calibri"/>
          <w:sz w:val="22"/>
        </w:rPr>
        <w:t>“</w:t>
      </w:r>
      <w:r>
        <w:rPr>
          <w:rFonts w:eastAsia="Calibri"/>
          <w:sz w:val="22"/>
        </w:rPr>
        <w:t>Condición Estructural de l</w:t>
      </w:r>
      <w:r w:rsidRPr="00EF1C11">
        <w:rPr>
          <w:rFonts w:eastAsia="Calibri"/>
          <w:sz w:val="22"/>
        </w:rPr>
        <w:t>as Edificaciones”</w:t>
      </w:r>
      <w:r>
        <w:rPr>
          <w:rFonts w:eastAsia="Calibri"/>
          <w:sz w:val="22"/>
        </w:rPr>
        <w:t xml:space="preserve"> elaborado por la Dirección de Gestión logística y de infraestructura en octubre de 2017</w:t>
      </w:r>
      <w:r w:rsidRPr="00EF1C11">
        <w:rPr>
          <w:rFonts w:eastAsia="Calibri"/>
          <w:sz w:val="22"/>
        </w:rPr>
        <w:t xml:space="preserve">: </w:t>
      </w:r>
    </w:p>
    <w:p w14:paraId="18574719" w14:textId="77777777" w:rsidR="008F5741" w:rsidRDefault="008F5741" w:rsidP="008F5741">
      <w:pPr>
        <w:ind w:firstLine="426"/>
        <w:jc w:val="both"/>
        <w:rPr>
          <w:rFonts w:eastAsia="Calibri"/>
          <w:sz w:val="22"/>
        </w:rPr>
      </w:pPr>
    </w:p>
    <w:p w14:paraId="674F48F2" w14:textId="77777777" w:rsidR="008F5741" w:rsidRPr="006D23CA" w:rsidRDefault="008F5741" w:rsidP="008F5741">
      <w:pPr>
        <w:ind w:left="284" w:right="282"/>
        <w:jc w:val="both"/>
        <w:rPr>
          <w:rFonts w:eastAsia="Calibri"/>
          <w:sz w:val="18"/>
        </w:rPr>
      </w:pPr>
      <w:r w:rsidRPr="006D23CA">
        <w:rPr>
          <w:rFonts w:eastAsia="Calibri"/>
          <w:sz w:val="18"/>
        </w:rPr>
        <w:t>“…</w:t>
      </w:r>
      <w:r w:rsidRPr="006D23CA">
        <w:rPr>
          <w:i/>
          <w:sz w:val="18"/>
          <w:szCs w:val="22"/>
        </w:rPr>
        <w:t>Dado el costo en el cual puede llegar a incurrir la Institución para habilitar sísmicamente estas edificaciones y mejorar las condiciones de resistencia y flexibilidad de las mismas, deberá hacerse una revisión detallada de las acciones a tomar, previendo, que eventualmente, puede ser más económico y eficiente, realizar una nueva construcción que habilitar la existente. Para ello será necesario, no sólo considerar el aspecto estructural, sino también la funcionalidad actual del edificio y su capacidad para cumplir con las funciones que tiene actualmente y su proyección a futuro.”</w:t>
      </w:r>
    </w:p>
    <w:p w14:paraId="67AE54F6" w14:textId="77777777" w:rsidR="008F5741" w:rsidRDefault="008F5741" w:rsidP="008F5741">
      <w:pPr>
        <w:jc w:val="both"/>
        <w:rPr>
          <w:sz w:val="22"/>
        </w:rPr>
      </w:pPr>
    </w:p>
    <w:p w14:paraId="25FE5489" w14:textId="77777777" w:rsidR="008F5741" w:rsidRPr="009A6BF8" w:rsidRDefault="008F5741" w:rsidP="008F5741">
      <w:pPr>
        <w:jc w:val="both"/>
        <w:rPr>
          <w:sz w:val="22"/>
          <w:szCs w:val="22"/>
        </w:rPr>
      </w:pPr>
      <w:r w:rsidRPr="009A6BF8">
        <w:rPr>
          <w:sz w:val="22"/>
          <w:szCs w:val="22"/>
        </w:rPr>
        <w:t>En consistencia con lo anterior, el plan de acción 2015-2018 estableció en el objetivo 8-</w:t>
      </w:r>
      <w:r w:rsidRPr="00767BBE">
        <w:rPr>
          <w:sz w:val="22"/>
          <w:szCs w:val="22"/>
        </w:rPr>
        <w:t xml:space="preserve"> Proveer a la Universidad con la infraestructura física, tecnológica y de soporte para el cumplimiento de su misión</w:t>
      </w:r>
      <w:r w:rsidRPr="009A6BF8">
        <w:rPr>
          <w:sz w:val="22"/>
          <w:szCs w:val="22"/>
        </w:rPr>
        <w:t>:</w:t>
      </w:r>
    </w:p>
    <w:p w14:paraId="28FDC637" w14:textId="77777777" w:rsidR="008F5741" w:rsidRPr="00A04BB0" w:rsidRDefault="008F5741" w:rsidP="008F5741">
      <w:pPr>
        <w:jc w:val="both"/>
        <w:rPr>
          <w:sz w:val="8"/>
        </w:rPr>
      </w:pPr>
    </w:p>
    <w:p w14:paraId="2AA9F988" w14:textId="77777777" w:rsidR="008F5741" w:rsidRPr="008B6C94" w:rsidRDefault="008F5741" w:rsidP="008F5741">
      <w:pPr>
        <w:ind w:left="284" w:right="333"/>
        <w:jc w:val="both"/>
        <w:rPr>
          <w:i/>
          <w:sz w:val="18"/>
          <w:szCs w:val="18"/>
        </w:rPr>
      </w:pPr>
      <w:r w:rsidRPr="008B6C94">
        <w:rPr>
          <w:i/>
          <w:sz w:val="18"/>
          <w:szCs w:val="18"/>
        </w:rPr>
        <w:t xml:space="preserve">“(…) Sin embargo, esto no es suficiente. </w:t>
      </w:r>
      <w:r w:rsidRPr="008B6C94">
        <w:rPr>
          <w:b/>
          <w:i/>
          <w:sz w:val="18"/>
          <w:szCs w:val="18"/>
        </w:rPr>
        <w:t>Se requiere ampliar la planta física</w:t>
      </w:r>
      <w:r w:rsidRPr="008B6C94">
        <w:rPr>
          <w:i/>
          <w:sz w:val="18"/>
          <w:szCs w:val="18"/>
        </w:rPr>
        <w:t xml:space="preserve">, especialmente </w:t>
      </w:r>
      <w:r w:rsidRPr="008B6C94">
        <w:rPr>
          <w:b/>
          <w:i/>
          <w:sz w:val="18"/>
          <w:szCs w:val="18"/>
        </w:rPr>
        <w:t>por</w:t>
      </w:r>
      <w:r w:rsidRPr="008B6C94">
        <w:rPr>
          <w:i/>
          <w:sz w:val="18"/>
          <w:szCs w:val="18"/>
        </w:rPr>
        <w:t xml:space="preserve"> </w:t>
      </w:r>
      <w:r w:rsidRPr="008B6C94">
        <w:rPr>
          <w:b/>
          <w:i/>
          <w:sz w:val="18"/>
          <w:szCs w:val="18"/>
        </w:rPr>
        <w:t>fuera de ciudad universitaria</w:t>
      </w:r>
      <w:r w:rsidRPr="008B6C94">
        <w:rPr>
          <w:i/>
          <w:sz w:val="18"/>
          <w:szCs w:val="18"/>
        </w:rPr>
        <w:t xml:space="preserve"> para resolver déficit de aulas, laboratorios y oficinas. Una vez se cuente con esos espacios se trasladará a ellos una parte de la comunidad universitaria. </w:t>
      </w:r>
    </w:p>
    <w:p w14:paraId="55D6B02B" w14:textId="77777777" w:rsidR="008F5741" w:rsidRPr="008B6C94" w:rsidRDefault="008F5741" w:rsidP="008F5741">
      <w:pPr>
        <w:ind w:left="284" w:right="333"/>
        <w:jc w:val="both"/>
        <w:rPr>
          <w:i/>
          <w:sz w:val="18"/>
          <w:szCs w:val="18"/>
        </w:rPr>
      </w:pPr>
    </w:p>
    <w:p w14:paraId="283152B1" w14:textId="77777777" w:rsidR="008F5741" w:rsidRPr="008B6C94" w:rsidRDefault="008F5741" w:rsidP="008F5741">
      <w:pPr>
        <w:ind w:left="284" w:right="333"/>
        <w:jc w:val="both"/>
        <w:rPr>
          <w:i/>
          <w:sz w:val="18"/>
          <w:szCs w:val="18"/>
        </w:rPr>
      </w:pPr>
      <w:r w:rsidRPr="008B6C94">
        <w:rPr>
          <w:i/>
          <w:sz w:val="18"/>
          <w:szCs w:val="18"/>
        </w:rPr>
        <w:t xml:space="preserve">Como los recursos son precarios ante la magnitud de las necesidades, deben priorizarse ciertas obras: la construcción de una nueva sede para la </w:t>
      </w:r>
      <w:r w:rsidRPr="008B6C94">
        <w:rPr>
          <w:b/>
          <w:i/>
          <w:sz w:val="18"/>
          <w:szCs w:val="18"/>
        </w:rPr>
        <w:t>Facultad Nacional de Salud Pública</w:t>
      </w:r>
      <w:r w:rsidRPr="008B6C94">
        <w:rPr>
          <w:i/>
          <w:sz w:val="18"/>
          <w:szCs w:val="18"/>
        </w:rPr>
        <w:t xml:space="preserve">; la respuesta a </w:t>
      </w:r>
      <w:r w:rsidRPr="008B6C94">
        <w:rPr>
          <w:b/>
          <w:i/>
          <w:sz w:val="18"/>
          <w:szCs w:val="18"/>
        </w:rPr>
        <w:t>problemas estructurales</w:t>
      </w:r>
      <w:r w:rsidRPr="008B6C94">
        <w:rPr>
          <w:i/>
          <w:sz w:val="18"/>
          <w:szCs w:val="18"/>
        </w:rPr>
        <w:t xml:space="preserve"> de algunas sedes; la adecuación del sótano de la </w:t>
      </w:r>
      <w:r w:rsidRPr="008B6C94">
        <w:rPr>
          <w:b/>
          <w:i/>
          <w:sz w:val="18"/>
          <w:szCs w:val="18"/>
        </w:rPr>
        <w:t>Sede de Posgrados</w:t>
      </w:r>
      <w:r w:rsidRPr="008B6C94">
        <w:rPr>
          <w:i/>
          <w:sz w:val="18"/>
          <w:szCs w:val="18"/>
        </w:rPr>
        <w:t xml:space="preserve"> para que los alumnos cuenten con los servicios de la biblioteca, auditorios y lugares de estudio; la dotación de la infraestructura que se requiere en las </w:t>
      </w:r>
      <w:r w:rsidRPr="008B6C94">
        <w:rPr>
          <w:b/>
          <w:i/>
          <w:sz w:val="18"/>
          <w:szCs w:val="18"/>
        </w:rPr>
        <w:t>sedes regionales</w:t>
      </w:r>
      <w:r w:rsidRPr="008B6C94">
        <w:rPr>
          <w:i/>
          <w:sz w:val="18"/>
          <w:szCs w:val="18"/>
        </w:rPr>
        <w:t xml:space="preserve"> de Urabá y Bajo Cauca para responder a la idea de unidades académicas con niveles adecuados de autonomía académica y administrativa; el mantenimiento y adecuación de las </w:t>
      </w:r>
      <w:r w:rsidRPr="008B6C94">
        <w:rPr>
          <w:b/>
          <w:i/>
          <w:sz w:val="18"/>
          <w:szCs w:val="18"/>
        </w:rPr>
        <w:t>haciendas</w:t>
      </w:r>
      <w:r w:rsidRPr="008B6C94">
        <w:rPr>
          <w:i/>
          <w:sz w:val="18"/>
          <w:szCs w:val="18"/>
        </w:rPr>
        <w:t xml:space="preserve"> para el bienestar animal y el buen proceso de aprendizaje de los estudiantes que se forman allí. </w:t>
      </w:r>
    </w:p>
    <w:p w14:paraId="073E0774" w14:textId="77777777" w:rsidR="008F5741" w:rsidRPr="008B6C94" w:rsidRDefault="008F5741" w:rsidP="008F5741">
      <w:pPr>
        <w:ind w:left="284" w:right="333"/>
        <w:jc w:val="both"/>
        <w:rPr>
          <w:i/>
          <w:sz w:val="18"/>
          <w:szCs w:val="18"/>
        </w:rPr>
      </w:pPr>
    </w:p>
    <w:p w14:paraId="71B094A0" w14:textId="77777777" w:rsidR="008F5741" w:rsidRPr="008B6C94" w:rsidRDefault="008F5741" w:rsidP="008F5741">
      <w:pPr>
        <w:ind w:left="284" w:right="333"/>
        <w:jc w:val="both"/>
        <w:rPr>
          <w:i/>
          <w:sz w:val="18"/>
          <w:szCs w:val="18"/>
        </w:rPr>
      </w:pPr>
      <w:r w:rsidRPr="008B6C94">
        <w:rPr>
          <w:i/>
          <w:sz w:val="18"/>
          <w:szCs w:val="18"/>
        </w:rPr>
        <w:lastRenderedPageBreak/>
        <w:t xml:space="preserve">(..). La expansión de la Universidad de Antioquia con </w:t>
      </w:r>
      <w:r w:rsidRPr="008B6C94">
        <w:rPr>
          <w:b/>
          <w:i/>
          <w:sz w:val="18"/>
          <w:szCs w:val="18"/>
        </w:rPr>
        <w:t>nuevas edificaciones</w:t>
      </w:r>
      <w:r w:rsidRPr="008B6C94">
        <w:rPr>
          <w:i/>
          <w:sz w:val="18"/>
          <w:szCs w:val="18"/>
        </w:rPr>
        <w:t xml:space="preserve"> y la adecuación de otras, tiene que ser un proyecto de ciudad y de región para lo cual se buscará el concurso de las autoridades departamentales y municipales del Valle de Aburrá. También se considerarán estrategias de financiación tales como el endeudamiento responsable y el acceso a recursos de cooperación internacional, académica y científica.” </w:t>
      </w:r>
      <w:r w:rsidRPr="008B6C94">
        <w:rPr>
          <w:sz w:val="18"/>
          <w:szCs w:val="18"/>
        </w:rPr>
        <w:t>Resaltado fuera de texto</w:t>
      </w:r>
      <w:r w:rsidRPr="008B6C94">
        <w:rPr>
          <w:i/>
          <w:sz w:val="18"/>
          <w:szCs w:val="18"/>
        </w:rPr>
        <w:t>.</w:t>
      </w:r>
    </w:p>
    <w:p w14:paraId="1E42B3C4" w14:textId="77777777" w:rsidR="008F5741" w:rsidRDefault="008F5741" w:rsidP="008F5741">
      <w:pPr>
        <w:jc w:val="both"/>
        <w:rPr>
          <w:sz w:val="22"/>
        </w:rPr>
      </w:pPr>
    </w:p>
    <w:p w14:paraId="7FF72092" w14:textId="77777777" w:rsidR="008F5741" w:rsidRDefault="008F5741" w:rsidP="008F5741">
      <w:pPr>
        <w:spacing w:line="259" w:lineRule="auto"/>
        <w:jc w:val="both"/>
        <w:rPr>
          <w:sz w:val="22"/>
        </w:rPr>
      </w:pPr>
      <w:r>
        <w:rPr>
          <w:sz w:val="22"/>
        </w:rPr>
        <w:t>Así mismo, el Plan de Desarrollo 2017-2027</w:t>
      </w:r>
      <w:r w:rsidRPr="006273AC">
        <w:rPr>
          <w:sz w:val="22"/>
        </w:rPr>
        <w:t xml:space="preserve"> </w:t>
      </w:r>
      <w:r>
        <w:rPr>
          <w:sz w:val="22"/>
        </w:rPr>
        <w:t>en su tema estratégico número 4- Gestión Administrativa y del Financiamiento estableció como una de las metas globales “</w:t>
      </w:r>
      <w:r w:rsidRPr="00C9044B">
        <w:rPr>
          <w:i/>
          <w:sz w:val="22"/>
        </w:rPr>
        <w:t>Ampliar la infraestructura física en 100.000 metros cuadrados</w:t>
      </w:r>
      <w:r>
        <w:rPr>
          <w:i/>
          <w:sz w:val="22"/>
        </w:rPr>
        <w:t xml:space="preserve"> nuevos</w:t>
      </w:r>
      <w:r>
        <w:rPr>
          <w:sz w:val="22"/>
        </w:rPr>
        <w:t xml:space="preserve">” y detalla que este incluye entre otros complejos, el </w:t>
      </w:r>
      <w:r w:rsidRPr="00C9044B">
        <w:rPr>
          <w:b/>
          <w:sz w:val="22"/>
        </w:rPr>
        <w:t>complejo de la salud</w:t>
      </w:r>
      <w:r>
        <w:rPr>
          <w:sz w:val="22"/>
        </w:rPr>
        <w:t>.</w:t>
      </w:r>
    </w:p>
    <w:p w14:paraId="46A96DFC" w14:textId="77777777" w:rsidR="008F5741" w:rsidRDefault="008F5741" w:rsidP="008F5741">
      <w:pPr>
        <w:spacing w:line="259" w:lineRule="auto"/>
        <w:jc w:val="both"/>
        <w:rPr>
          <w:sz w:val="22"/>
        </w:rPr>
      </w:pPr>
    </w:p>
    <w:p w14:paraId="6CED3A94" w14:textId="77777777" w:rsidR="008F5741" w:rsidRPr="000A3F9F" w:rsidRDefault="008F5741" w:rsidP="008F5741">
      <w:pPr>
        <w:jc w:val="both"/>
        <w:rPr>
          <w:sz w:val="22"/>
        </w:rPr>
      </w:pPr>
      <w:r>
        <w:rPr>
          <w:sz w:val="22"/>
        </w:rPr>
        <w:t xml:space="preserve">La Resolución Superior 2237 del 30 de enero de </w:t>
      </w:r>
      <w:r w:rsidRPr="000A3F9F">
        <w:rPr>
          <w:sz w:val="22"/>
        </w:rPr>
        <w:t xml:space="preserve">2018, </w:t>
      </w:r>
      <w:r>
        <w:rPr>
          <w:sz w:val="22"/>
        </w:rPr>
        <w:t xml:space="preserve">en el considerando </w:t>
      </w:r>
      <w:r w:rsidRPr="000A3F9F">
        <w:rPr>
          <w:sz w:val="22"/>
        </w:rPr>
        <w:t xml:space="preserve">5 </w:t>
      </w:r>
      <w:r>
        <w:rPr>
          <w:sz w:val="22"/>
        </w:rPr>
        <w:t>determinó</w:t>
      </w:r>
      <w:r w:rsidRPr="000A3F9F">
        <w:rPr>
          <w:sz w:val="22"/>
        </w:rPr>
        <w:t>:</w:t>
      </w:r>
    </w:p>
    <w:p w14:paraId="63ED3E65" w14:textId="77777777" w:rsidR="008F5741" w:rsidRDefault="008F5741" w:rsidP="008F5741">
      <w:pPr>
        <w:ind w:left="426" w:right="709"/>
        <w:jc w:val="both"/>
        <w:rPr>
          <w:sz w:val="20"/>
        </w:rPr>
      </w:pPr>
    </w:p>
    <w:p w14:paraId="1F7F81A2" w14:textId="77777777" w:rsidR="008F5741" w:rsidRPr="008B6C94" w:rsidRDefault="008F5741" w:rsidP="004324CB">
      <w:pPr>
        <w:ind w:left="284" w:right="333"/>
        <w:jc w:val="both"/>
        <w:rPr>
          <w:sz w:val="18"/>
          <w:szCs w:val="20"/>
        </w:rPr>
      </w:pPr>
      <w:r w:rsidRPr="008B6C94">
        <w:rPr>
          <w:sz w:val="18"/>
          <w:szCs w:val="20"/>
        </w:rPr>
        <w:t>“</w:t>
      </w:r>
      <w:r w:rsidRPr="008B6C94">
        <w:rPr>
          <w:i/>
          <w:sz w:val="18"/>
          <w:szCs w:val="20"/>
        </w:rPr>
        <w:t xml:space="preserve">Por todo lo anterior, el Consejo Superior Universitario ha considerado prioritario el desarrollo del proyecto denominado </w:t>
      </w:r>
      <w:r w:rsidRPr="008B6C94">
        <w:rPr>
          <w:b/>
          <w:i/>
          <w:sz w:val="18"/>
          <w:szCs w:val="20"/>
        </w:rPr>
        <w:t>Complejo de la Salud</w:t>
      </w:r>
      <w:r w:rsidRPr="008B6C94">
        <w:rPr>
          <w:i/>
          <w:sz w:val="18"/>
          <w:szCs w:val="20"/>
        </w:rPr>
        <w:t xml:space="preserve"> de la Universidad de Antioquia, el cual consiste en la construcción y dotación de una nueva sede para varias unidades del área de la Salud, con el fin de facilitar no sólo los procesos académicos y administrativos de las mismas, sino buscar la integración disciplinar con las demás dependencias de la Universidad</w:t>
      </w:r>
      <w:r w:rsidRPr="008B6C94">
        <w:rPr>
          <w:sz w:val="18"/>
          <w:szCs w:val="20"/>
        </w:rPr>
        <w:t>.” Resaltado fuera de texto.</w:t>
      </w:r>
    </w:p>
    <w:p w14:paraId="799CEEA0" w14:textId="77777777" w:rsidR="008F5741" w:rsidRDefault="008F5741" w:rsidP="008F5741">
      <w:pPr>
        <w:ind w:left="426" w:right="709"/>
        <w:jc w:val="both"/>
        <w:rPr>
          <w:rFonts w:eastAsia="Calibri"/>
          <w:sz w:val="20"/>
        </w:rPr>
      </w:pPr>
    </w:p>
    <w:p w14:paraId="147B7AF8" w14:textId="77777777" w:rsidR="008F5741" w:rsidRDefault="008F5741" w:rsidP="008F5741">
      <w:pPr>
        <w:ind w:right="709"/>
        <w:jc w:val="both"/>
        <w:rPr>
          <w:sz w:val="22"/>
        </w:rPr>
      </w:pPr>
      <w:r w:rsidRPr="00D51A2D">
        <w:rPr>
          <w:sz w:val="22"/>
        </w:rPr>
        <w:t>El resuelve de la misma Resolución menciona:</w:t>
      </w:r>
    </w:p>
    <w:p w14:paraId="602945E5" w14:textId="77777777" w:rsidR="008F5741" w:rsidRDefault="008F5741" w:rsidP="008F5741">
      <w:pPr>
        <w:ind w:right="709"/>
        <w:jc w:val="both"/>
        <w:rPr>
          <w:sz w:val="22"/>
        </w:rPr>
      </w:pPr>
    </w:p>
    <w:p w14:paraId="2A6B5F2C" w14:textId="77777777" w:rsidR="008F5741" w:rsidRPr="008B6C94" w:rsidRDefault="008F5741" w:rsidP="004324CB">
      <w:pPr>
        <w:ind w:left="284" w:right="333"/>
        <w:jc w:val="both"/>
        <w:rPr>
          <w:sz w:val="18"/>
          <w:szCs w:val="20"/>
        </w:rPr>
      </w:pPr>
      <w:r w:rsidRPr="008B6C94">
        <w:rPr>
          <w:i/>
          <w:sz w:val="18"/>
          <w:szCs w:val="20"/>
        </w:rPr>
        <w:t xml:space="preserve">“Autorizar al Rector de la Universidad para que adelante las gestiones necesarias para viabilizar la celebración de un contrato de empréstito con una o varias entidades financieras, y, si es del caso, otorgue las garantías necesarias, </w:t>
      </w:r>
      <w:r w:rsidRPr="008B6C94">
        <w:rPr>
          <w:b/>
          <w:i/>
          <w:sz w:val="18"/>
          <w:szCs w:val="20"/>
        </w:rPr>
        <w:t>hasta</w:t>
      </w:r>
      <w:r w:rsidRPr="008B6C94">
        <w:rPr>
          <w:i/>
          <w:sz w:val="18"/>
          <w:szCs w:val="20"/>
        </w:rPr>
        <w:t xml:space="preserve"> por la suma de doscientos veinte mil millones de pesos ($220.000.000.000), con el fin de financiar el proyecto Complejo de la Salud de la Universidad de Antioquia</w:t>
      </w:r>
      <w:r w:rsidRPr="008B6C94">
        <w:rPr>
          <w:sz w:val="18"/>
          <w:szCs w:val="20"/>
        </w:rPr>
        <w:t>.” Resaltado fuera de texto</w:t>
      </w:r>
    </w:p>
    <w:p w14:paraId="742EF3EC" w14:textId="77777777" w:rsidR="008F5741" w:rsidRDefault="008F5741" w:rsidP="008F5741">
      <w:pPr>
        <w:ind w:left="426" w:right="709"/>
        <w:jc w:val="both"/>
        <w:rPr>
          <w:rFonts w:eastAsia="Calibri"/>
          <w:sz w:val="20"/>
        </w:rPr>
      </w:pPr>
    </w:p>
    <w:p w14:paraId="485095E0" w14:textId="77777777" w:rsidR="008F5741" w:rsidRPr="00C014D2" w:rsidRDefault="008F5741" w:rsidP="008F5741">
      <w:pPr>
        <w:spacing w:line="259" w:lineRule="auto"/>
        <w:jc w:val="both"/>
        <w:rPr>
          <w:sz w:val="22"/>
        </w:rPr>
      </w:pPr>
      <w:bookmarkStart w:id="7" w:name="_Toc512332493"/>
      <w:r>
        <w:rPr>
          <w:sz w:val="22"/>
        </w:rPr>
        <w:t>Finalmente, se concluye que s</w:t>
      </w:r>
      <w:r w:rsidRPr="00C014D2">
        <w:rPr>
          <w:sz w:val="22"/>
        </w:rPr>
        <w:t>i bien el proyecto inició con la construcción de la nueva sede para la Facultad Nacional de Salud Pública</w:t>
      </w:r>
      <w:r>
        <w:rPr>
          <w:sz w:val="22"/>
        </w:rPr>
        <w:t>;</w:t>
      </w:r>
      <w:r w:rsidRPr="00C014D2">
        <w:rPr>
          <w:sz w:val="22"/>
        </w:rPr>
        <w:t xml:space="preserve"> </w:t>
      </w:r>
      <w:r>
        <w:rPr>
          <w:sz w:val="22"/>
        </w:rPr>
        <w:t xml:space="preserve">posteriormente, </w:t>
      </w:r>
      <w:r w:rsidRPr="00C014D2">
        <w:rPr>
          <w:sz w:val="22"/>
        </w:rPr>
        <w:t>se determinó un nuevo alcance a través del “Proyecto del Complejo de la Salud”. El modelo planteado constitu</w:t>
      </w:r>
      <w:r>
        <w:rPr>
          <w:sz w:val="22"/>
        </w:rPr>
        <w:t>iría</w:t>
      </w:r>
      <w:r w:rsidRPr="00C014D2">
        <w:rPr>
          <w:sz w:val="22"/>
        </w:rPr>
        <w:t xml:space="preserve"> una alternativa de integración de diferentes áreas y los objetivos prop</w:t>
      </w:r>
      <w:r>
        <w:rPr>
          <w:sz w:val="22"/>
        </w:rPr>
        <w:t>uestos para</w:t>
      </w:r>
      <w:r w:rsidRPr="00C014D2">
        <w:rPr>
          <w:sz w:val="22"/>
        </w:rPr>
        <w:t xml:space="preserve"> su operación visualiza</w:t>
      </w:r>
      <w:r>
        <w:rPr>
          <w:sz w:val="22"/>
        </w:rPr>
        <w:t>n</w:t>
      </w:r>
      <w:r w:rsidRPr="00C014D2">
        <w:rPr>
          <w:sz w:val="22"/>
        </w:rPr>
        <w:t xml:space="preserve"> posibles mejoras </w:t>
      </w:r>
      <w:r>
        <w:rPr>
          <w:sz w:val="22"/>
        </w:rPr>
        <w:t>para</w:t>
      </w:r>
      <w:r w:rsidRPr="00C014D2">
        <w:rPr>
          <w:sz w:val="22"/>
        </w:rPr>
        <w:t xml:space="preserve"> las dificultades que actualmente presentan </w:t>
      </w:r>
      <w:r>
        <w:rPr>
          <w:sz w:val="22"/>
        </w:rPr>
        <w:t>alguna</w:t>
      </w:r>
      <w:r w:rsidRPr="00C014D2">
        <w:rPr>
          <w:sz w:val="22"/>
        </w:rPr>
        <w:t>s dependencias de la Universidad.</w:t>
      </w:r>
    </w:p>
    <w:p w14:paraId="56929701" w14:textId="77777777" w:rsidR="008F5741" w:rsidRDefault="008F5741" w:rsidP="008F5741">
      <w:pPr>
        <w:spacing w:after="160" w:line="259" w:lineRule="auto"/>
      </w:pPr>
    </w:p>
    <w:p w14:paraId="50B7D907" w14:textId="77777777" w:rsidR="008F5741" w:rsidRDefault="008F5741" w:rsidP="008F5741">
      <w:pPr>
        <w:spacing w:after="160" w:line="259" w:lineRule="auto"/>
      </w:pPr>
    </w:p>
    <w:p w14:paraId="380DCF50" w14:textId="77777777" w:rsidR="008F5741" w:rsidRDefault="008F5741" w:rsidP="008F5741">
      <w:pPr>
        <w:spacing w:after="160" w:line="259" w:lineRule="auto"/>
      </w:pPr>
      <w:r>
        <w:br w:type="page"/>
      </w:r>
    </w:p>
    <w:p w14:paraId="04D70DE0" w14:textId="77777777" w:rsidR="008F5741" w:rsidRPr="00462F36" w:rsidRDefault="008F5741" w:rsidP="004324CB">
      <w:pPr>
        <w:spacing w:line="259" w:lineRule="auto"/>
        <w:rPr>
          <w:sz w:val="12"/>
        </w:rPr>
      </w:pPr>
    </w:p>
    <w:p w14:paraId="493C0DBC" w14:textId="77777777" w:rsidR="008F5741" w:rsidRPr="00F0025F" w:rsidRDefault="008F5741" w:rsidP="008F5741">
      <w:pPr>
        <w:pStyle w:val="Ttulo1"/>
        <w:numPr>
          <w:ilvl w:val="0"/>
          <w:numId w:val="6"/>
        </w:numPr>
        <w:spacing w:before="0"/>
        <w:ind w:left="426" w:hanging="426"/>
        <w:rPr>
          <w:rFonts w:ascii="Times New Roman" w:hAnsi="Times New Roman" w:cs="Times New Roman"/>
          <w:b/>
          <w:color w:val="385623" w:themeColor="accent6" w:themeShade="80"/>
          <w:sz w:val="24"/>
        </w:rPr>
      </w:pPr>
      <w:bookmarkStart w:id="8" w:name="_Toc526516463"/>
      <w:r w:rsidRPr="00F0025F">
        <w:rPr>
          <w:rFonts w:ascii="Times New Roman" w:hAnsi="Times New Roman" w:cs="Times New Roman"/>
          <w:b/>
          <w:color w:val="385623" w:themeColor="accent6" w:themeShade="80"/>
          <w:sz w:val="24"/>
        </w:rPr>
        <w:t>RESULTADOS DEL AN</w:t>
      </w:r>
      <w:r>
        <w:rPr>
          <w:rFonts w:ascii="Times New Roman" w:hAnsi="Times New Roman" w:cs="Times New Roman"/>
          <w:b/>
          <w:color w:val="385623" w:themeColor="accent6" w:themeShade="80"/>
          <w:sz w:val="24"/>
        </w:rPr>
        <w:t>Á</w:t>
      </w:r>
      <w:r w:rsidRPr="00F0025F">
        <w:rPr>
          <w:rFonts w:ascii="Times New Roman" w:hAnsi="Times New Roman" w:cs="Times New Roman"/>
          <w:b/>
          <w:color w:val="385623" w:themeColor="accent6" w:themeShade="80"/>
          <w:sz w:val="24"/>
        </w:rPr>
        <w:t>LISIS REALIZADO</w:t>
      </w:r>
      <w:bookmarkEnd w:id="8"/>
    </w:p>
    <w:p w14:paraId="1FE7CA74" w14:textId="77777777" w:rsidR="008F5741" w:rsidRDefault="008F5741" w:rsidP="008F5741">
      <w:pPr>
        <w:spacing w:line="259" w:lineRule="auto"/>
        <w:rPr>
          <w:i/>
          <w:sz w:val="18"/>
        </w:rPr>
      </w:pPr>
      <w:bookmarkStart w:id="9" w:name="_Toc512332494"/>
      <w:bookmarkEnd w:id="7"/>
    </w:p>
    <w:p w14:paraId="1A4E7FDC" w14:textId="77777777" w:rsidR="008F5741" w:rsidRPr="00C051C7" w:rsidRDefault="008F5741" w:rsidP="008F5741">
      <w:pPr>
        <w:spacing w:line="259" w:lineRule="auto"/>
        <w:rPr>
          <w:i/>
          <w:sz w:val="18"/>
        </w:rPr>
      </w:pPr>
    </w:p>
    <w:p w14:paraId="508BEBD8" w14:textId="77777777" w:rsidR="008F5741" w:rsidRPr="001926FA" w:rsidRDefault="008F5741" w:rsidP="008F5741">
      <w:pPr>
        <w:pStyle w:val="Ttulo2"/>
        <w:numPr>
          <w:ilvl w:val="1"/>
          <w:numId w:val="6"/>
        </w:numPr>
        <w:shd w:val="clear" w:color="auto" w:fill="E2EFD9" w:themeFill="accent6" w:themeFillTint="33"/>
        <w:ind w:left="567" w:hanging="567"/>
        <w:rPr>
          <w:rFonts w:ascii="Times New Roman" w:eastAsia="Calibri" w:hAnsi="Times New Roman" w:cs="Times New Roman"/>
          <w:b/>
          <w:color w:val="385623" w:themeColor="accent6" w:themeShade="80"/>
          <w:sz w:val="24"/>
        </w:rPr>
      </w:pPr>
      <w:bookmarkStart w:id="10" w:name="_Toc526516464"/>
      <w:r w:rsidRPr="001926FA">
        <w:rPr>
          <w:rFonts w:ascii="Times New Roman" w:eastAsia="Calibri" w:hAnsi="Times New Roman" w:cs="Times New Roman"/>
          <w:b/>
          <w:color w:val="385623" w:themeColor="accent6" w:themeShade="80"/>
          <w:sz w:val="24"/>
        </w:rPr>
        <w:t>Aspectos Administrativos</w:t>
      </w:r>
      <w:bookmarkEnd w:id="10"/>
    </w:p>
    <w:p w14:paraId="22E39DE7" w14:textId="2F59EB75" w:rsidR="008F5741" w:rsidRPr="00CA06BF" w:rsidRDefault="008F5741" w:rsidP="008F5741">
      <w:pPr>
        <w:pStyle w:val="Prrafodelista"/>
        <w:ind w:left="0"/>
        <w:jc w:val="both"/>
        <w:rPr>
          <w:sz w:val="22"/>
          <w:szCs w:val="22"/>
        </w:rPr>
      </w:pPr>
    </w:p>
    <w:p w14:paraId="27AABC66" w14:textId="77777777" w:rsidR="004324CB" w:rsidRPr="00CA06BF" w:rsidRDefault="004324CB" w:rsidP="008F5741">
      <w:pPr>
        <w:pStyle w:val="Prrafodelista"/>
        <w:ind w:left="0"/>
        <w:jc w:val="both"/>
        <w:rPr>
          <w:sz w:val="22"/>
          <w:szCs w:val="22"/>
        </w:rPr>
      </w:pPr>
    </w:p>
    <w:p w14:paraId="18611348" w14:textId="77777777" w:rsidR="008F5741" w:rsidRPr="004B063E" w:rsidRDefault="008F5741" w:rsidP="008F5741">
      <w:pPr>
        <w:pStyle w:val="Ttulo3"/>
        <w:numPr>
          <w:ilvl w:val="2"/>
          <w:numId w:val="6"/>
        </w:numPr>
        <w:ind w:left="709" w:hanging="709"/>
        <w:rPr>
          <w:rFonts w:ascii="Times New Roman" w:hAnsi="Times New Roman" w:cs="Times New Roman"/>
          <w:b/>
          <w:color w:val="385623" w:themeColor="accent6" w:themeShade="80"/>
          <w:sz w:val="22"/>
        </w:rPr>
      </w:pPr>
      <w:bookmarkStart w:id="11" w:name="_Toc526516465"/>
      <w:r w:rsidRPr="004B063E">
        <w:rPr>
          <w:rFonts w:ascii="Times New Roman" w:hAnsi="Times New Roman" w:cs="Times New Roman"/>
          <w:b/>
          <w:color w:val="385623" w:themeColor="accent6" w:themeShade="80"/>
          <w:sz w:val="22"/>
        </w:rPr>
        <w:t>Actos administrativos</w:t>
      </w:r>
      <w:bookmarkEnd w:id="11"/>
      <w:r w:rsidRPr="004B063E">
        <w:rPr>
          <w:rFonts w:ascii="Times New Roman" w:hAnsi="Times New Roman" w:cs="Times New Roman"/>
          <w:b/>
          <w:color w:val="385623" w:themeColor="accent6" w:themeShade="80"/>
          <w:sz w:val="22"/>
        </w:rPr>
        <w:t xml:space="preserve"> </w:t>
      </w:r>
      <w:bookmarkEnd w:id="9"/>
    </w:p>
    <w:p w14:paraId="5F2D79FC" w14:textId="77777777" w:rsidR="008F5741" w:rsidRPr="00DE0971" w:rsidRDefault="008F5741" w:rsidP="008F5741">
      <w:pPr>
        <w:pStyle w:val="Prrafodelista"/>
        <w:ind w:left="0"/>
        <w:jc w:val="both"/>
        <w:rPr>
          <w:sz w:val="22"/>
          <w:szCs w:val="22"/>
        </w:rPr>
      </w:pPr>
    </w:p>
    <w:p w14:paraId="6EADA7AA" w14:textId="77777777" w:rsidR="008F5741" w:rsidRDefault="008F5741" w:rsidP="008F5741">
      <w:pPr>
        <w:pStyle w:val="Prrafodelista"/>
        <w:ind w:left="0"/>
        <w:jc w:val="both"/>
        <w:rPr>
          <w:sz w:val="22"/>
          <w:szCs w:val="22"/>
        </w:rPr>
      </w:pPr>
      <w:r w:rsidRPr="000920E8">
        <w:rPr>
          <w:sz w:val="22"/>
          <w:szCs w:val="22"/>
        </w:rPr>
        <w:t>El anexo 1</w:t>
      </w:r>
      <w:r>
        <w:rPr>
          <w:sz w:val="22"/>
          <w:szCs w:val="22"/>
        </w:rPr>
        <w:t>, detalla los actos administrativos asociados con el tema sujeto de análisis. A continuación, se resaltan algunos de ellos:</w:t>
      </w:r>
    </w:p>
    <w:p w14:paraId="17060CE9" w14:textId="77777777" w:rsidR="008F5741" w:rsidRPr="00462F36" w:rsidRDefault="008F5741" w:rsidP="008F5741">
      <w:pPr>
        <w:pStyle w:val="Prrafodelista"/>
        <w:rPr>
          <w:color w:val="FF0000"/>
          <w:sz w:val="22"/>
          <w:szCs w:val="22"/>
          <w:highlight w:val="yellow"/>
        </w:rPr>
      </w:pPr>
    </w:p>
    <w:tbl>
      <w:tblPr>
        <w:tblStyle w:val="Tabladecuadrcula2-nfasis6"/>
        <w:tblW w:w="8789" w:type="dxa"/>
        <w:tblLook w:val="04A0" w:firstRow="1" w:lastRow="0" w:firstColumn="1" w:lastColumn="0" w:noHBand="0" w:noVBand="1"/>
      </w:tblPr>
      <w:tblGrid>
        <w:gridCol w:w="1794"/>
        <w:gridCol w:w="861"/>
        <w:gridCol w:w="1037"/>
        <w:gridCol w:w="1128"/>
        <w:gridCol w:w="992"/>
        <w:gridCol w:w="2977"/>
      </w:tblGrid>
      <w:tr w:rsidR="008F5741" w:rsidRPr="00DE0BEB" w14:paraId="45E2087E" w14:textId="77777777" w:rsidTr="00462F36">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692" w:type="dxa"/>
            <w:gridSpan w:val="3"/>
            <w:vAlign w:val="center"/>
          </w:tcPr>
          <w:p w14:paraId="5E2A0CB3" w14:textId="77777777" w:rsidR="008F5741" w:rsidRPr="00A3404B" w:rsidRDefault="008F5741" w:rsidP="008F5741">
            <w:pPr>
              <w:jc w:val="center"/>
              <w:rPr>
                <w:i/>
                <w:color w:val="385623" w:themeColor="accent6" w:themeShade="80"/>
                <w:sz w:val="18"/>
                <w:szCs w:val="18"/>
              </w:rPr>
            </w:pPr>
            <w:r w:rsidRPr="00A3404B">
              <w:rPr>
                <w:i/>
                <w:color w:val="385623" w:themeColor="accent6" w:themeShade="80"/>
                <w:sz w:val="18"/>
                <w:szCs w:val="18"/>
              </w:rPr>
              <w:t>Acto</w:t>
            </w:r>
          </w:p>
        </w:tc>
        <w:tc>
          <w:tcPr>
            <w:tcW w:w="2120" w:type="dxa"/>
            <w:gridSpan w:val="2"/>
            <w:vAlign w:val="center"/>
          </w:tcPr>
          <w:p w14:paraId="0E3628DD" w14:textId="77777777" w:rsidR="008F5741" w:rsidRPr="00A3404B" w:rsidRDefault="008F5741" w:rsidP="008F5741">
            <w:pPr>
              <w:jc w:val="center"/>
              <w:cnfStyle w:val="100000000000" w:firstRow="1" w:lastRow="0" w:firstColumn="0" w:lastColumn="0" w:oddVBand="0" w:evenVBand="0" w:oddHBand="0" w:evenHBand="0" w:firstRowFirstColumn="0" w:firstRowLastColumn="0" w:lastRowFirstColumn="0" w:lastRowLastColumn="0"/>
              <w:rPr>
                <w:i/>
                <w:color w:val="385623" w:themeColor="accent6" w:themeShade="80"/>
                <w:sz w:val="18"/>
                <w:szCs w:val="18"/>
              </w:rPr>
            </w:pPr>
            <w:r>
              <w:rPr>
                <w:i/>
                <w:color w:val="385623" w:themeColor="accent6" w:themeShade="80"/>
                <w:sz w:val="18"/>
                <w:szCs w:val="18"/>
              </w:rPr>
              <w:t>Recursos para</w:t>
            </w:r>
          </w:p>
        </w:tc>
        <w:tc>
          <w:tcPr>
            <w:tcW w:w="2977" w:type="dxa"/>
            <w:vAlign w:val="center"/>
          </w:tcPr>
          <w:p w14:paraId="4ECA6719" w14:textId="77777777" w:rsidR="008F5741" w:rsidRPr="00BB5505" w:rsidRDefault="008F5741" w:rsidP="008F5741">
            <w:pPr>
              <w:jc w:val="center"/>
              <w:cnfStyle w:val="100000000000" w:firstRow="1" w:lastRow="0" w:firstColumn="0" w:lastColumn="0" w:oddVBand="0" w:evenVBand="0" w:oddHBand="0" w:evenHBand="0" w:firstRowFirstColumn="0" w:firstRowLastColumn="0" w:lastRowFirstColumn="0" w:lastRowLastColumn="0"/>
              <w:rPr>
                <w:i/>
                <w:color w:val="385623" w:themeColor="accent6" w:themeShade="80"/>
                <w:sz w:val="18"/>
                <w:szCs w:val="18"/>
              </w:rPr>
            </w:pPr>
            <w:r>
              <w:rPr>
                <w:i/>
                <w:color w:val="385623" w:themeColor="accent6" w:themeShade="80"/>
                <w:sz w:val="18"/>
                <w:szCs w:val="18"/>
              </w:rPr>
              <w:t>D</w:t>
            </w:r>
            <w:r w:rsidRPr="00BB5505">
              <w:rPr>
                <w:i/>
                <w:color w:val="385623" w:themeColor="accent6" w:themeShade="80"/>
                <w:sz w:val="18"/>
                <w:szCs w:val="18"/>
              </w:rPr>
              <w:t>estinados a:</w:t>
            </w:r>
          </w:p>
        </w:tc>
      </w:tr>
      <w:tr w:rsidR="008F5741" w:rsidRPr="008E22AC" w14:paraId="53AD1D83" w14:textId="77777777" w:rsidTr="00462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dxa"/>
            <w:vAlign w:val="center"/>
          </w:tcPr>
          <w:p w14:paraId="0B6C9E85" w14:textId="77777777" w:rsidR="008F5741" w:rsidRPr="00BB5505" w:rsidRDefault="008F5741" w:rsidP="008F5741">
            <w:pPr>
              <w:jc w:val="center"/>
              <w:rPr>
                <w:b w:val="0"/>
                <w:bCs w:val="0"/>
                <w:i/>
                <w:color w:val="385623" w:themeColor="accent6" w:themeShade="80"/>
                <w:sz w:val="18"/>
                <w:szCs w:val="18"/>
              </w:rPr>
            </w:pPr>
            <w:r w:rsidRPr="00BB5505">
              <w:rPr>
                <w:i/>
                <w:color w:val="385623" w:themeColor="accent6" w:themeShade="80"/>
                <w:sz w:val="18"/>
                <w:szCs w:val="18"/>
              </w:rPr>
              <w:t>Tipo</w:t>
            </w:r>
          </w:p>
        </w:tc>
        <w:tc>
          <w:tcPr>
            <w:tcW w:w="861" w:type="dxa"/>
            <w:vAlign w:val="center"/>
          </w:tcPr>
          <w:p w14:paraId="610A1880" w14:textId="77777777" w:rsidR="008F5741" w:rsidRPr="00BB5505" w:rsidRDefault="008F5741" w:rsidP="008F5741">
            <w:pPr>
              <w:jc w:val="center"/>
              <w:cnfStyle w:val="000000100000" w:firstRow="0" w:lastRow="0" w:firstColumn="0" w:lastColumn="0" w:oddVBand="0" w:evenVBand="0" w:oddHBand="1" w:evenHBand="0" w:firstRowFirstColumn="0" w:firstRowLastColumn="0" w:lastRowFirstColumn="0" w:lastRowLastColumn="0"/>
              <w:rPr>
                <w:i/>
                <w:color w:val="385623" w:themeColor="accent6" w:themeShade="80"/>
                <w:sz w:val="18"/>
                <w:szCs w:val="18"/>
              </w:rPr>
            </w:pPr>
            <w:r w:rsidRPr="00BB5505">
              <w:rPr>
                <w:i/>
                <w:color w:val="385623" w:themeColor="accent6" w:themeShade="80"/>
                <w:sz w:val="18"/>
                <w:szCs w:val="18"/>
              </w:rPr>
              <w:t>Nro.</w:t>
            </w:r>
          </w:p>
        </w:tc>
        <w:tc>
          <w:tcPr>
            <w:tcW w:w="1037" w:type="dxa"/>
            <w:vAlign w:val="center"/>
          </w:tcPr>
          <w:p w14:paraId="5B5ACB94" w14:textId="77777777" w:rsidR="008F5741" w:rsidRPr="00BB5505" w:rsidRDefault="008F5741" w:rsidP="008F5741">
            <w:pPr>
              <w:jc w:val="center"/>
              <w:cnfStyle w:val="000000100000" w:firstRow="0" w:lastRow="0" w:firstColumn="0" w:lastColumn="0" w:oddVBand="0" w:evenVBand="0" w:oddHBand="1" w:evenHBand="0" w:firstRowFirstColumn="0" w:firstRowLastColumn="0" w:lastRowFirstColumn="0" w:lastRowLastColumn="0"/>
              <w:rPr>
                <w:i/>
                <w:color w:val="385623" w:themeColor="accent6" w:themeShade="80"/>
                <w:sz w:val="18"/>
                <w:szCs w:val="18"/>
              </w:rPr>
            </w:pPr>
            <w:r w:rsidRPr="00BB5505">
              <w:rPr>
                <w:i/>
                <w:color w:val="385623" w:themeColor="accent6" w:themeShade="80"/>
                <w:sz w:val="18"/>
                <w:szCs w:val="18"/>
              </w:rPr>
              <w:t>Fecha</w:t>
            </w:r>
          </w:p>
          <w:p w14:paraId="4540C7E1" w14:textId="77777777" w:rsidR="008F5741" w:rsidRPr="00BB5505" w:rsidRDefault="008F5741" w:rsidP="008F5741">
            <w:pPr>
              <w:jc w:val="center"/>
              <w:cnfStyle w:val="000000100000" w:firstRow="0" w:lastRow="0" w:firstColumn="0" w:lastColumn="0" w:oddVBand="0" w:evenVBand="0" w:oddHBand="1" w:evenHBand="0" w:firstRowFirstColumn="0" w:firstRowLastColumn="0" w:lastRowFirstColumn="0" w:lastRowLastColumn="0"/>
              <w:rPr>
                <w:i/>
                <w:color w:val="385623" w:themeColor="accent6" w:themeShade="80"/>
                <w:sz w:val="18"/>
                <w:szCs w:val="18"/>
              </w:rPr>
            </w:pPr>
            <w:r w:rsidRPr="00BB5505">
              <w:rPr>
                <w:i/>
                <w:color w:val="385623" w:themeColor="accent6" w:themeShade="80"/>
                <w:sz w:val="18"/>
                <w:szCs w:val="18"/>
              </w:rPr>
              <w:t>dd/mm/aa</w:t>
            </w:r>
          </w:p>
        </w:tc>
        <w:tc>
          <w:tcPr>
            <w:tcW w:w="1128" w:type="dxa"/>
            <w:vAlign w:val="center"/>
          </w:tcPr>
          <w:p w14:paraId="6140D7C8" w14:textId="77777777" w:rsidR="008F5741" w:rsidRPr="00BB5505" w:rsidRDefault="008F5741" w:rsidP="008F5741">
            <w:pPr>
              <w:jc w:val="center"/>
              <w:cnfStyle w:val="000000100000" w:firstRow="0" w:lastRow="0" w:firstColumn="0" w:lastColumn="0" w:oddVBand="0" w:evenVBand="0" w:oddHBand="1" w:evenHBand="0" w:firstRowFirstColumn="0" w:firstRowLastColumn="0" w:lastRowFirstColumn="0" w:lastRowLastColumn="0"/>
              <w:rPr>
                <w:sz w:val="16"/>
                <w:szCs w:val="22"/>
              </w:rPr>
            </w:pPr>
            <w:r w:rsidRPr="00BB5505">
              <w:rPr>
                <w:i/>
                <w:color w:val="385623" w:themeColor="accent6" w:themeShade="80"/>
                <w:sz w:val="16"/>
                <w:szCs w:val="18"/>
              </w:rPr>
              <w:t>Facultad Nacional de Salud Pública</w:t>
            </w:r>
          </w:p>
        </w:tc>
        <w:tc>
          <w:tcPr>
            <w:tcW w:w="992" w:type="dxa"/>
            <w:vAlign w:val="center"/>
          </w:tcPr>
          <w:p w14:paraId="0FA2F3B8" w14:textId="77777777" w:rsidR="008F5741" w:rsidRPr="00BB5505" w:rsidRDefault="008F5741" w:rsidP="008F5741">
            <w:pPr>
              <w:jc w:val="center"/>
              <w:cnfStyle w:val="000000100000" w:firstRow="0" w:lastRow="0" w:firstColumn="0" w:lastColumn="0" w:oddVBand="0" w:evenVBand="0" w:oddHBand="1" w:evenHBand="0" w:firstRowFirstColumn="0" w:firstRowLastColumn="0" w:lastRowFirstColumn="0" w:lastRowLastColumn="0"/>
              <w:rPr>
                <w:sz w:val="16"/>
                <w:szCs w:val="22"/>
              </w:rPr>
            </w:pPr>
            <w:r w:rsidRPr="00BB5505">
              <w:rPr>
                <w:i/>
                <w:color w:val="385623" w:themeColor="accent6" w:themeShade="80"/>
                <w:sz w:val="16"/>
                <w:szCs w:val="18"/>
              </w:rPr>
              <w:t>Complejo de la Salud</w:t>
            </w:r>
          </w:p>
        </w:tc>
        <w:tc>
          <w:tcPr>
            <w:tcW w:w="2977" w:type="dxa"/>
            <w:vAlign w:val="center"/>
          </w:tcPr>
          <w:p w14:paraId="796C8812" w14:textId="77777777" w:rsidR="008F5741" w:rsidRPr="00726E60" w:rsidRDefault="008F5741" w:rsidP="008F5741">
            <w:pPr>
              <w:jc w:val="center"/>
              <w:cnfStyle w:val="000000100000" w:firstRow="0" w:lastRow="0" w:firstColumn="0" w:lastColumn="0" w:oddVBand="0" w:evenVBand="0" w:oddHBand="1" w:evenHBand="0" w:firstRowFirstColumn="0" w:firstRowLastColumn="0" w:lastRowFirstColumn="0" w:lastRowLastColumn="0"/>
              <w:rPr>
                <w:sz w:val="18"/>
                <w:szCs w:val="22"/>
              </w:rPr>
            </w:pPr>
          </w:p>
        </w:tc>
      </w:tr>
      <w:tr w:rsidR="008F5741" w:rsidRPr="008E22AC" w14:paraId="4BF44F59" w14:textId="77777777" w:rsidTr="00462F36">
        <w:trPr>
          <w:trHeight w:val="283"/>
        </w:trPr>
        <w:tc>
          <w:tcPr>
            <w:cnfStyle w:val="001000000000" w:firstRow="0" w:lastRow="0" w:firstColumn="1" w:lastColumn="0" w:oddVBand="0" w:evenVBand="0" w:oddHBand="0" w:evenHBand="0" w:firstRowFirstColumn="0" w:firstRowLastColumn="0" w:lastRowFirstColumn="0" w:lastRowLastColumn="0"/>
            <w:tcW w:w="1794" w:type="dxa"/>
            <w:vAlign w:val="center"/>
          </w:tcPr>
          <w:p w14:paraId="335217E9" w14:textId="77777777" w:rsidR="008F5741" w:rsidRPr="00783653" w:rsidRDefault="008F5741" w:rsidP="008F5741">
            <w:pPr>
              <w:ind w:left="-112"/>
              <w:jc w:val="center"/>
              <w:rPr>
                <w:b w:val="0"/>
                <w:sz w:val="18"/>
                <w:szCs w:val="18"/>
              </w:rPr>
            </w:pPr>
            <w:r w:rsidRPr="00783653">
              <w:rPr>
                <w:b w:val="0"/>
                <w:sz w:val="18"/>
                <w:szCs w:val="18"/>
              </w:rPr>
              <w:t>Resolución Superior</w:t>
            </w:r>
          </w:p>
        </w:tc>
        <w:tc>
          <w:tcPr>
            <w:tcW w:w="861" w:type="dxa"/>
            <w:vAlign w:val="center"/>
          </w:tcPr>
          <w:p w14:paraId="6F6C2001" w14:textId="77777777" w:rsidR="008F5741" w:rsidRPr="00783653" w:rsidRDefault="008F5741" w:rsidP="008F57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783653">
              <w:rPr>
                <w:sz w:val="18"/>
                <w:szCs w:val="18"/>
              </w:rPr>
              <w:t>1915</w:t>
            </w:r>
          </w:p>
        </w:tc>
        <w:tc>
          <w:tcPr>
            <w:tcW w:w="1037" w:type="dxa"/>
            <w:vAlign w:val="center"/>
          </w:tcPr>
          <w:p w14:paraId="2214C8D1" w14:textId="77777777" w:rsidR="008F5741" w:rsidRPr="00783653" w:rsidRDefault="008F5741" w:rsidP="008F57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783653">
              <w:rPr>
                <w:sz w:val="18"/>
                <w:szCs w:val="18"/>
              </w:rPr>
              <w:t>12/3/2014</w:t>
            </w:r>
          </w:p>
        </w:tc>
        <w:tc>
          <w:tcPr>
            <w:tcW w:w="1128" w:type="dxa"/>
            <w:vMerge w:val="restart"/>
            <w:vAlign w:val="center"/>
          </w:tcPr>
          <w:p w14:paraId="1268B68C" w14:textId="77777777" w:rsidR="008F5741" w:rsidRPr="00783653" w:rsidRDefault="008F5741" w:rsidP="008F5741">
            <w:pPr>
              <w:ind w:right="164"/>
              <w:jc w:val="right"/>
              <w:cnfStyle w:val="000000000000" w:firstRow="0" w:lastRow="0" w:firstColumn="0" w:lastColumn="0" w:oddVBand="0" w:evenVBand="0" w:oddHBand="0" w:evenHBand="0" w:firstRowFirstColumn="0" w:firstRowLastColumn="0" w:lastRowFirstColumn="0" w:lastRowLastColumn="0"/>
              <w:rPr>
                <w:sz w:val="18"/>
                <w:szCs w:val="18"/>
              </w:rPr>
            </w:pPr>
            <w:r w:rsidRPr="00783653">
              <w:rPr>
                <w:sz w:val="18"/>
                <w:szCs w:val="18"/>
              </w:rPr>
              <w:t>$9.200</w:t>
            </w:r>
          </w:p>
        </w:tc>
        <w:tc>
          <w:tcPr>
            <w:tcW w:w="992" w:type="dxa"/>
            <w:vMerge w:val="restart"/>
            <w:vAlign w:val="center"/>
          </w:tcPr>
          <w:p w14:paraId="562FCA50" w14:textId="77777777" w:rsidR="008F5741" w:rsidRPr="00783653" w:rsidRDefault="008F5741" w:rsidP="008F5741">
            <w:pPr>
              <w:ind w:right="31"/>
              <w:jc w:val="right"/>
              <w:cnfStyle w:val="000000000000" w:firstRow="0" w:lastRow="0" w:firstColumn="0" w:lastColumn="0" w:oddVBand="0" w:evenVBand="0" w:oddHBand="0" w:evenHBand="0" w:firstRowFirstColumn="0" w:firstRowLastColumn="0" w:lastRowFirstColumn="0" w:lastRowLastColumn="0"/>
              <w:rPr>
                <w:sz w:val="18"/>
                <w:szCs w:val="18"/>
              </w:rPr>
            </w:pPr>
          </w:p>
        </w:tc>
        <w:tc>
          <w:tcPr>
            <w:tcW w:w="2977" w:type="dxa"/>
            <w:vMerge w:val="restart"/>
            <w:vAlign w:val="center"/>
          </w:tcPr>
          <w:p w14:paraId="02713469" w14:textId="77777777" w:rsidR="008F5741" w:rsidRPr="00462F36" w:rsidRDefault="008F5741" w:rsidP="008F5741">
            <w:pPr>
              <w:ind w:right="-111"/>
              <w:cnfStyle w:val="000000000000" w:firstRow="0" w:lastRow="0" w:firstColumn="0" w:lastColumn="0" w:oddVBand="0" w:evenVBand="0" w:oddHBand="0" w:evenHBand="0" w:firstRowFirstColumn="0" w:firstRowLastColumn="0" w:lastRowFirstColumn="0" w:lastRowLastColumn="0"/>
              <w:rPr>
                <w:sz w:val="16"/>
                <w:szCs w:val="16"/>
              </w:rPr>
            </w:pPr>
            <w:r w:rsidRPr="00462F36">
              <w:rPr>
                <w:sz w:val="16"/>
                <w:szCs w:val="16"/>
              </w:rPr>
              <w:t>Adquisición de lote la Bedout para la nueva sede de la Facultad Nacional de Salud Pública.</w:t>
            </w:r>
          </w:p>
        </w:tc>
      </w:tr>
      <w:tr w:rsidR="008F5741" w:rsidRPr="00F44A7E" w14:paraId="640EAD7A" w14:textId="77777777" w:rsidTr="00462F3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94" w:type="dxa"/>
            <w:vAlign w:val="center"/>
          </w:tcPr>
          <w:p w14:paraId="7694F3CE" w14:textId="77777777" w:rsidR="008F5741" w:rsidRPr="00783653" w:rsidRDefault="008F5741" w:rsidP="008F5741">
            <w:pPr>
              <w:ind w:left="-112"/>
              <w:jc w:val="center"/>
              <w:rPr>
                <w:sz w:val="18"/>
                <w:szCs w:val="18"/>
              </w:rPr>
            </w:pPr>
            <w:r w:rsidRPr="00783653">
              <w:rPr>
                <w:b w:val="0"/>
                <w:sz w:val="18"/>
                <w:szCs w:val="18"/>
              </w:rPr>
              <w:t>Resolución Superior</w:t>
            </w:r>
          </w:p>
        </w:tc>
        <w:tc>
          <w:tcPr>
            <w:tcW w:w="861" w:type="dxa"/>
            <w:vAlign w:val="center"/>
          </w:tcPr>
          <w:p w14:paraId="4B5A1AF3" w14:textId="77777777" w:rsidR="008F5741" w:rsidRPr="00783653" w:rsidRDefault="008F5741" w:rsidP="008F57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783653">
              <w:rPr>
                <w:sz w:val="18"/>
                <w:szCs w:val="18"/>
              </w:rPr>
              <w:t>1945</w:t>
            </w:r>
          </w:p>
        </w:tc>
        <w:tc>
          <w:tcPr>
            <w:tcW w:w="1037" w:type="dxa"/>
            <w:vAlign w:val="center"/>
          </w:tcPr>
          <w:p w14:paraId="5AC8B285" w14:textId="77777777" w:rsidR="008F5741" w:rsidRPr="00783653" w:rsidRDefault="008F5741" w:rsidP="008F57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783653">
              <w:rPr>
                <w:sz w:val="18"/>
                <w:szCs w:val="18"/>
              </w:rPr>
              <w:t>15/7/2014</w:t>
            </w:r>
          </w:p>
        </w:tc>
        <w:tc>
          <w:tcPr>
            <w:tcW w:w="1128" w:type="dxa"/>
            <w:vMerge/>
            <w:vAlign w:val="center"/>
          </w:tcPr>
          <w:p w14:paraId="607574C7" w14:textId="77777777" w:rsidR="008F5741" w:rsidRPr="00783653" w:rsidRDefault="008F5741" w:rsidP="008F5741">
            <w:pPr>
              <w:ind w:right="164"/>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992" w:type="dxa"/>
            <w:vMerge/>
            <w:vAlign w:val="center"/>
          </w:tcPr>
          <w:p w14:paraId="150DD5AE" w14:textId="77777777" w:rsidR="008F5741" w:rsidRPr="00783653" w:rsidRDefault="008F5741" w:rsidP="008F5741">
            <w:pPr>
              <w:ind w:right="31"/>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2977" w:type="dxa"/>
            <w:vMerge/>
            <w:vAlign w:val="center"/>
          </w:tcPr>
          <w:p w14:paraId="4ECB3074" w14:textId="77777777" w:rsidR="008F5741" w:rsidRPr="00462F36" w:rsidRDefault="008F5741" w:rsidP="008F5741">
            <w:pPr>
              <w:ind w:right="-111"/>
              <w:cnfStyle w:val="000000100000" w:firstRow="0" w:lastRow="0" w:firstColumn="0" w:lastColumn="0" w:oddVBand="0" w:evenVBand="0" w:oddHBand="1" w:evenHBand="0" w:firstRowFirstColumn="0" w:firstRowLastColumn="0" w:lastRowFirstColumn="0" w:lastRowLastColumn="0"/>
              <w:rPr>
                <w:sz w:val="16"/>
                <w:szCs w:val="16"/>
              </w:rPr>
            </w:pPr>
          </w:p>
        </w:tc>
      </w:tr>
      <w:tr w:rsidR="008F5741" w:rsidRPr="00F44A7E" w14:paraId="23F04076" w14:textId="77777777" w:rsidTr="00462F36">
        <w:trPr>
          <w:trHeight w:val="283"/>
        </w:trPr>
        <w:tc>
          <w:tcPr>
            <w:cnfStyle w:val="001000000000" w:firstRow="0" w:lastRow="0" w:firstColumn="1" w:lastColumn="0" w:oddVBand="0" w:evenVBand="0" w:oddHBand="0" w:evenHBand="0" w:firstRowFirstColumn="0" w:firstRowLastColumn="0" w:lastRowFirstColumn="0" w:lastRowLastColumn="0"/>
            <w:tcW w:w="1794" w:type="dxa"/>
            <w:vAlign w:val="center"/>
          </w:tcPr>
          <w:p w14:paraId="22220B45" w14:textId="77777777" w:rsidR="008F5741" w:rsidRPr="00783653" w:rsidRDefault="008F5741" w:rsidP="008F5741">
            <w:pPr>
              <w:ind w:left="-112"/>
              <w:jc w:val="center"/>
              <w:rPr>
                <w:b w:val="0"/>
                <w:sz w:val="18"/>
                <w:szCs w:val="18"/>
              </w:rPr>
            </w:pPr>
            <w:r w:rsidRPr="00783653">
              <w:rPr>
                <w:b w:val="0"/>
                <w:sz w:val="18"/>
                <w:szCs w:val="18"/>
              </w:rPr>
              <w:t>Resolución Rectoral</w:t>
            </w:r>
          </w:p>
        </w:tc>
        <w:tc>
          <w:tcPr>
            <w:tcW w:w="861" w:type="dxa"/>
            <w:vAlign w:val="center"/>
          </w:tcPr>
          <w:p w14:paraId="0F1729C4" w14:textId="77777777" w:rsidR="008F5741" w:rsidRPr="00783653" w:rsidRDefault="008F5741" w:rsidP="008F57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783653">
              <w:rPr>
                <w:sz w:val="18"/>
                <w:szCs w:val="18"/>
              </w:rPr>
              <w:t>39547</w:t>
            </w:r>
          </w:p>
        </w:tc>
        <w:tc>
          <w:tcPr>
            <w:tcW w:w="1037" w:type="dxa"/>
            <w:vAlign w:val="center"/>
          </w:tcPr>
          <w:p w14:paraId="06A9F390" w14:textId="77777777" w:rsidR="008F5741" w:rsidRPr="00783653" w:rsidRDefault="008F5741" w:rsidP="008F57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783653">
              <w:rPr>
                <w:sz w:val="18"/>
                <w:szCs w:val="18"/>
              </w:rPr>
              <w:t>9/12/2014</w:t>
            </w:r>
          </w:p>
        </w:tc>
        <w:tc>
          <w:tcPr>
            <w:tcW w:w="1128" w:type="dxa"/>
            <w:vMerge/>
            <w:vAlign w:val="center"/>
          </w:tcPr>
          <w:p w14:paraId="40F186FF" w14:textId="77777777" w:rsidR="008F5741" w:rsidRPr="00783653" w:rsidRDefault="008F5741" w:rsidP="008F5741">
            <w:pPr>
              <w:ind w:right="164"/>
              <w:jc w:val="right"/>
              <w:cnfStyle w:val="000000000000" w:firstRow="0" w:lastRow="0" w:firstColumn="0" w:lastColumn="0" w:oddVBand="0" w:evenVBand="0" w:oddHBand="0" w:evenHBand="0" w:firstRowFirstColumn="0" w:firstRowLastColumn="0" w:lastRowFirstColumn="0" w:lastRowLastColumn="0"/>
              <w:rPr>
                <w:sz w:val="18"/>
                <w:szCs w:val="18"/>
              </w:rPr>
            </w:pPr>
          </w:p>
        </w:tc>
        <w:tc>
          <w:tcPr>
            <w:tcW w:w="992" w:type="dxa"/>
            <w:vMerge/>
            <w:vAlign w:val="center"/>
          </w:tcPr>
          <w:p w14:paraId="0CD4BA82" w14:textId="77777777" w:rsidR="008F5741" w:rsidRPr="00783653" w:rsidRDefault="008F5741" w:rsidP="008F5741">
            <w:pPr>
              <w:ind w:right="31"/>
              <w:jc w:val="right"/>
              <w:cnfStyle w:val="000000000000" w:firstRow="0" w:lastRow="0" w:firstColumn="0" w:lastColumn="0" w:oddVBand="0" w:evenVBand="0" w:oddHBand="0" w:evenHBand="0" w:firstRowFirstColumn="0" w:firstRowLastColumn="0" w:lastRowFirstColumn="0" w:lastRowLastColumn="0"/>
              <w:rPr>
                <w:sz w:val="18"/>
                <w:szCs w:val="18"/>
              </w:rPr>
            </w:pPr>
          </w:p>
        </w:tc>
        <w:tc>
          <w:tcPr>
            <w:tcW w:w="2977" w:type="dxa"/>
            <w:vMerge/>
            <w:vAlign w:val="center"/>
          </w:tcPr>
          <w:p w14:paraId="5803C6D8" w14:textId="77777777" w:rsidR="008F5741" w:rsidRPr="00462F36" w:rsidRDefault="008F5741" w:rsidP="008F5741">
            <w:pPr>
              <w:ind w:right="-111"/>
              <w:cnfStyle w:val="000000000000" w:firstRow="0" w:lastRow="0" w:firstColumn="0" w:lastColumn="0" w:oddVBand="0" w:evenVBand="0" w:oddHBand="0" w:evenHBand="0" w:firstRowFirstColumn="0" w:firstRowLastColumn="0" w:lastRowFirstColumn="0" w:lastRowLastColumn="0"/>
              <w:rPr>
                <w:sz w:val="16"/>
                <w:szCs w:val="16"/>
              </w:rPr>
            </w:pPr>
          </w:p>
        </w:tc>
      </w:tr>
      <w:tr w:rsidR="008F5741" w:rsidRPr="008E22AC" w14:paraId="0B5750EC" w14:textId="77777777" w:rsidTr="00462F36">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1794" w:type="dxa"/>
            <w:vAlign w:val="center"/>
          </w:tcPr>
          <w:p w14:paraId="52E5A93C" w14:textId="77777777" w:rsidR="008F5741" w:rsidRPr="00783653" w:rsidRDefault="008F5741" w:rsidP="008F5741">
            <w:pPr>
              <w:ind w:left="-112"/>
              <w:jc w:val="center"/>
              <w:rPr>
                <w:b w:val="0"/>
                <w:sz w:val="18"/>
                <w:szCs w:val="18"/>
                <w:highlight w:val="yellow"/>
              </w:rPr>
            </w:pPr>
            <w:r w:rsidRPr="00783653">
              <w:rPr>
                <w:b w:val="0"/>
                <w:sz w:val="18"/>
                <w:szCs w:val="18"/>
              </w:rPr>
              <w:t>Resolución Superior</w:t>
            </w:r>
          </w:p>
        </w:tc>
        <w:tc>
          <w:tcPr>
            <w:tcW w:w="861" w:type="dxa"/>
            <w:vAlign w:val="center"/>
          </w:tcPr>
          <w:p w14:paraId="4F9A4FBE" w14:textId="77777777" w:rsidR="008F5741" w:rsidRPr="00783653" w:rsidRDefault="008F5741" w:rsidP="008F57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783653">
              <w:rPr>
                <w:sz w:val="18"/>
                <w:szCs w:val="18"/>
              </w:rPr>
              <w:t>2081</w:t>
            </w:r>
          </w:p>
        </w:tc>
        <w:tc>
          <w:tcPr>
            <w:tcW w:w="1037" w:type="dxa"/>
            <w:vAlign w:val="center"/>
          </w:tcPr>
          <w:p w14:paraId="6DF209E8" w14:textId="77777777" w:rsidR="008F5741" w:rsidRPr="00783653" w:rsidRDefault="008F5741" w:rsidP="008F57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783653">
              <w:rPr>
                <w:sz w:val="18"/>
                <w:szCs w:val="18"/>
              </w:rPr>
              <w:t>23/02/2016</w:t>
            </w:r>
          </w:p>
        </w:tc>
        <w:tc>
          <w:tcPr>
            <w:tcW w:w="1128" w:type="dxa"/>
            <w:vAlign w:val="center"/>
          </w:tcPr>
          <w:p w14:paraId="7972F9F8" w14:textId="77777777" w:rsidR="008F5741" w:rsidRPr="00783653" w:rsidRDefault="008F5741" w:rsidP="008F5741">
            <w:pPr>
              <w:ind w:right="164"/>
              <w:jc w:val="right"/>
              <w:cnfStyle w:val="000000100000" w:firstRow="0" w:lastRow="0" w:firstColumn="0" w:lastColumn="0" w:oddVBand="0" w:evenVBand="0" w:oddHBand="1" w:evenHBand="0" w:firstRowFirstColumn="0" w:firstRowLastColumn="0" w:lastRowFirstColumn="0" w:lastRowLastColumn="0"/>
              <w:rPr>
                <w:sz w:val="18"/>
                <w:szCs w:val="18"/>
              </w:rPr>
            </w:pPr>
            <w:r w:rsidRPr="00783653">
              <w:rPr>
                <w:sz w:val="18"/>
                <w:szCs w:val="18"/>
              </w:rPr>
              <w:t>$1.046</w:t>
            </w:r>
          </w:p>
        </w:tc>
        <w:tc>
          <w:tcPr>
            <w:tcW w:w="992" w:type="dxa"/>
            <w:vAlign w:val="center"/>
          </w:tcPr>
          <w:p w14:paraId="4AECA67D" w14:textId="77777777" w:rsidR="008F5741" w:rsidRPr="00783653" w:rsidRDefault="008F5741" w:rsidP="008F5741">
            <w:pPr>
              <w:ind w:right="31"/>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2977" w:type="dxa"/>
            <w:vAlign w:val="center"/>
          </w:tcPr>
          <w:p w14:paraId="73BBEBF0" w14:textId="77777777" w:rsidR="008F5741" w:rsidRPr="00462F36" w:rsidRDefault="008F5741" w:rsidP="008F5741">
            <w:pPr>
              <w:ind w:right="-111"/>
              <w:cnfStyle w:val="000000100000" w:firstRow="0" w:lastRow="0" w:firstColumn="0" w:lastColumn="0" w:oddVBand="0" w:evenVBand="0" w:oddHBand="1" w:evenHBand="0" w:firstRowFirstColumn="0" w:firstRowLastColumn="0" w:lastRowFirstColumn="0" w:lastRowLastColumn="0"/>
              <w:rPr>
                <w:sz w:val="16"/>
                <w:szCs w:val="16"/>
              </w:rPr>
            </w:pPr>
            <w:r w:rsidRPr="00462F36">
              <w:rPr>
                <w:sz w:val="16"/>
                <w:szCs w:val="16"/>
              </w:rPr>
              <w:t>Construcción y dotación de nueva sede de la Facultad Nacional de Salud Pública</w:t>
            </w:r>
          </w:p>
        </w:tc>
      </w:tr>
      <w:tr w:rsidR="008F5741" w:rsidRPr="008E22AC" w14:paraId="00745089" w14:textId="77777777" w:rsidTr="00462F36">
        <w:trPr>
          <w:trHeight w:val="454"/>
        </w:trPr>
        <w:tc>
          <w:tcPr>
            <w:cnfStyle w:val="001000000000" w:firstRow="0" w:lastRow="0" w:firstColumn="1" w:lastColumn="0" w:oddVBand="0" w:evenVBand="0" w:oddHBand="0" w:evenHBand="0" w:firstRowFirstColumn="0" w:firstRowLastColumn="0" w:lastRowFirstColumn="0" w:lastRowLastColumn="0"/>
            <w:tcW w:w="1794" w:type="dxa"/>
            <w:vAlign w:val="center"/>
          </w:tcPr>
          <w:p w14:paraId="2FC83598" w14:textId="77777777" w:rsidR="008F5741" w:rsidRPr="00783653" w:rsidRDefault="008F5741" w:rsidP="008F5741">
            <w:pPr>
              <w:ind w:left="-112"/>
              <w:jc w:val="center"/>
              <w:rPr>
                <w:sz w:val="18"/>
                <w:szCs w:val="18"/>
                <w:highlight w:val="yellow"/>
              </w:rPr>
            </w:pPr>
            <w:r w:rsidRPr="00783653">
              <w:rPr>
                <w:b w:val="0"/>
                <w:sz w:val="18"/>
                <w:szCs w:val="18"/>
              </w:rPr>
              <w:t>Resolución Superior</w:t>
            </w:r>
          </w:p>
        </w:tc>
        <w:tc>
          <w:tcPr>
            <w:tcW w:w="861" w:type="dxa"/>
            <w:vAlign w:val="center"/>
          </w:tcPr>
          <w:p w14:paraId="2EBCC31D" w14:textId="77777777" w:rsidR="008F5741" w:rsidRPr="00783653" w:rsidRDefault="008F5741" w:rsidP="008F57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783653">
              <w:rPr>
                <w:sz w:val="18"/>
                <w:szCs w:val="18"/>
              </w:rPr>
              <w:t>2171</w:t>
            </w:r>
          </w:p>
        </w:tc>
        <w:tc>
          <w:tcPr>
            <w:tcW w:w="1037" w:type="dxa"/>
            <w:vAlign w:val="center"/>
          </w:tcPr>
          <w:p w14:paraId="1A960089" w14:textId="77777777" w:rsidR="008F5741" w:rsidRPr="00783653" w:rsidRDefault="008F5741" w:rsidP="008F57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783653">
              <w:rPr>
                <w:sz w:val="18"/>
                <w:szCs w:val="18"/>
              </w:rPr>
              <w:t>25/04/2017</w:t>
            </w:r>
          </w:p>
        </w:tc>
        <w:tc>
          <w:tcPr>
            <w:tcW w:w="1128" w:type="dxa"/>
            <w:vAlign w:val="center"/>
          </w:tcPr>
          <w:p w14:paraId="079F48D0" w14:textId="77777777" w:rsidR="008F5741" w:rsidRPr="00783653" w:rsidRDefault="008F5741" w:rsidP="008F5741">
            <w:pPr>
              <w:ind w:right="164"/>
              <w:jc w:val="right"/>
              <w:cnfStyle w:val="000000000000" w:firstRow="0" w:lastRow="0" w:firstColumn="0" w:lastColumn="0" w:oddVBand="0" w:evenVBand="0" w:oddHBand="0" w:evenHBand="0" w:firstRowFirstColumn="0" w:firstRowLastColumn="0" w:lastRowFirstColumn="0" w:lastRowLastColumn="0"/>
              <w:rPr>
                <w:sz w:val="18"/>
                <w:szCs w:val="18"/>
              </w:rPr>
            </w:pPr>
            <w:r w:rsidRPr="00783653">
              <w:rPr>
                <w:sz w:val="18"/>
                <w:szCs w:val="18"/>
              </w:rPr>
              <w:t>$993</w:t>
            </w:r>
          </w:p>
        </w:tc>
        <w:tc>
          <w:tcPr>
            <w:tcW w:w="992" w:type="dxa"/>
            <w:vAlign w:val="center"/>
          </w:tcPr>
          <w:p w14:paraId="04B8FA28" w14:textId="77777777" w:rsidR="008F5741" w:rsidRPr="00783653" w:rsidRDefault="008F5741" w:rsidP="008F5741">
            <w:pPr>
              <w:ind w:right="31"/>
              <w:jc w:val="right"/>
              <w:cnfStyle w:val="000000000000" w:firstRow="0" w:lastRow="0" w:firstColumn="0" w:lastColumn="0" w:oddVBand="0" w:evenVBand="0" w:oddHBand="0" w:evenHBand="0" w:firstRowFirstColumn="0" w:firstRowLastColumn="0" w:lastRowFirstColumn="0" w:lastRowLastColumn="0"/>
              <w:rPr>
                <w:sz w:val="18"/>
                <w:szCs w:val="18"/>
              </w:rPr>
            </w:pPr>
          </w:p>
        </w:tc>
        <w:tc>
          <w:tcPr>
            <w:tcW w:w="2977" w:type="dxa"/>
            <w:vAlign w:val="center"/>
          </w:tcPr>
          <w:p w14:paraId="4761728C" w14:textId="77777777" w:rsidR="008F5741" w:rsidRPr="00462F36" w:rsidRDefault="008F5741" w:rsidP="008F5741">
            <w:pPr>
              <w:ind w:right="-111"/>
              <w:cnfStyle w:val="000000000000" w:firstRow="0" w:lastRow="0" w:firstColumn="0" w:lastColumn="0" w:oddVBand="0" w:evenVBand="0" w:oddHBand="0" w:evenHBand="0" w:firstRowFirstColumn="0" w:firstRowLastColumn="0" w:lastRowFirstColumn="0" w:lastRowLastColumn="0"/>
              <w:rPr>
                <w:sz w:val="16"/>
                <w:szCs w:val="16"/>
              </w:rPr>
            </w:pPr>
            <w:r w:rsidRPr="00462F36">
              <w:rPr>
                <w:sz w:val="16"/>
                <w:szCs w:val="16"/>
              </w:rPr>
              <w:t>Adición para la financiación de la construcción y dotación y dotación de la nueva sede</w:t>
            </w:r>
          </w:p>
        </w:tc>
      </w:tr>
      <w:tr w:rsidR="008F5741" w:rsidRPr="008E22AC" w14:paraId="47B04DD4" w14:textId="77777777" w:rsidTr="00462F3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94" w:type="dxa"/>
            <w:vAlign w:val="center"/>
          </w:tcPr>
          <w:p w14:paraId="09424BEC" w14:textId="77777777" w:rsidR="008F5741" w:rsidRPr="00783653" w:rsidRDefault="008F5741" w:rsidP="008F5741">
            <w:pPr>
              <w:ind w:left="-112"/>
              <w:jc w:val="center"/>
              <w:rPr>
                <w:sz w:val="18"/>
                <w:szCs w:val="18"/>
                <w:highlight w:val="yellow"/>
              </w:rPr>
            </w:pPr>
            <w:r w:rsidRPr="00783653">
              <w:rPr>
                <w:b w:val="0"/>
                <w:sz w:val="18"/>
                <w:szCs w:val="18"/>
              </w:rPr>
              <w:t>Resolución Rectoral</w:t>
            </w:r>
          </w:p>
        </w:tc>
        <w:tc>
          <w:tcPr>
            <w:tcW w:w="861" w:type="dxa"/>
            <w:vAlign w:val="center"/>
          </w:tcPr>
          <w:p w14:paraId="4F676065" w14:textId="77777777" w:rsidR="008F5741" w:rsidRPr="00783653" w:rsidRDefault="008F5741" w:rsidP="008F57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783653">
              <w:rPr>
                <w:sz w:val="18"/>
                <w:szCs w:val="18"/>
              </w:rPr>
              <w:t>43009</w:t>
            </w:r>
          </w:p>
        </w:tc>
        <w:tc>
          <w:tcPr>
            <w:tcW w:w="1037" w:type="dxa"/>
            <w:vAlign w:val="center"/>
          </w:tcPr>
          <w:p w14:paraId="4BE9E8DB" w14:textId="77777777" w:rsidR="008F5741" w:rsidRPr="00783653" w:rsidRDefault="008F5741" w:rsidP="008F57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783653">
              <w:rPr>
                <w:sz w:val="18"/>
                <w:szCs w:val="18"/>
              </w:rPr>
              <w:t>23/06/2017</w:t>
            </w:r>
          </w:p>
        </w:tc>
        <w:tc>
          <w:tcPr>
            <w:tcW w:w="1128" w:type="dxa"/>
            <w:vAlign w:val="center"/>
          </w:tcPr>
          <w:p w14:paraId="6796F9C4" w14:textId="77777777" w:rsidR="008F5741" w:rsidRPr="00783653" w:rsidRDefault="008F5741" w:rsidP="008F5741">
            <w:pPr>
              <w:ind w:right="164"/>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992" w:type="dxa"/>
            <w:vAlign w:val="center"/>
          </w:tcPr>
          <w:p w14:paraId="25F8B6BC" w14:textId="77777777" w:rsidR="008F5741" w:rsidRPr="00783653" w:rsidRDefault="008F5741" w:rsidP="008F5741">
            <w:pPr>
              <w:ind w:right="31"/>
              <w:jc w:val="right"/>
              <w:cnfStyle w:val="000000100000" w:firstRow="0" w:lastRow="0" w:firstColumn="0" w:lastColumn="0" w:oddVBand="0" w:evenVBand="0" w:oddHBand="1" w:evenHBand="0" w:firstRowFirstColumn="0" w:firstRowLastColumn="0" w:lastRowFirstColumn="0" w:lastRowLastColumn="0"/>
              <w:rPr>
                <w:sz w:val="18"/>
                <w:szCs w:val="18"/>
              </w:rPr>
            </w:pPr>
            <w:r w:rsidRPr="00783653">
              <w:rPr>
                <w:sz w:val="18"/>
                <w:szCs w:val="18"/>
              </w:rPr>
              <w:t>$5.370</w:t>
            </w:r>
          </w:p>
        </w:tc>
        <w:tc>
          <w:tcPr>
            <w:tcW w:w="2977" w:type="dxa"/>
            <w:vAlign w:val="center"/>
          </w:tcPr>
          <w:p w14:paraId="51871EAA" w14:textId="08D45057" w:rsidR="008F5741" w:rsidRPr="00462F36" w:rsidRDefault="00D838E9" w:rsidP="008F5741">
            <w:pPr>
              <w:pStyle w:val="Default"/>
              <w:cnfStyle w:val="000000100000" w:firstRow="0" w:lastRow="0" w:firstColumn="0" w:lastColumn="0" w:oddVBand="0" w:evenVBand="0" w:oddHBand="1" w:evenHBand="0" w:firstRowFirstColumn="0" w:firstRowLastColumn="0" w:lastRowFirstColumn="0" w:lastRowLastColumn="0"/>
              <w:rPr>
                <w:sz w:val="16"/>
                <w:szCs w:val="16"/>
              </w:rPr>
            </w:pPr>
            <w:r w:rsidRPr="00462F36">
              <w:rPr>
                <w:rFonts w:ascii="Times New Roman" w:eastAsia="Times New Roman" w:hAnsi="Times New Roman" w:cs="Times New Roman"/>
                <w:color w:val="auto"/>
                <w:sz w:val="16"/>
                <w:szCs w:val="16"/>
                <w:lang w:eastAsia="es-CO"/>
              </w:rPr>
              <w:t>Pre inversión</w:t>
            </w:r>
            <w:r w:rsidR="008F5741" w:rsidRPr="00462F36">
              <w:rPr>
                <w:rFonts w:ascii="Times New Roman" w:eastAsia="Times New Roman" w:hAnsi="Times New Roman" w:cs="Times New Roman"/>
                <w:color w:val="auto"/>
                <w:sz w:val="16"/>
                <w:szCs w:val="16"/>
                <w:lang w:eastAsia="es-CO"/>
              </w:rPr>
              <w:t xml:space="preserve"> para el Complejo de Salud- Potencial de Expansión de la Infraestructura en Salud de la Universidad de Antioquia</w:t>
            </w:r>
          </w:p>
        </w:tc>
      </w:tr>
      <w:tr w:rsidR="008F5741" w:rsidRPr="008E22AC" w14:paraId="1BCC1F9B" w14:textId="77777777" w:rsidTr="00462F36">
        <w:trPr>
          <w:trHeight w:val="813"/>
        </w:trPr>
        <w:tc>
          <w:tcPr>
            <w:cnfStyle w:val="001000000000" w:firstRow="0" w:lastRow="0" w:firstColumn="1" w:lastColumn="0" w:oddVBand="0" w:evenVBand="0" w:oddHBand="0" w:evenHBand="0" w:firstRowFirstColumn="0" w:firstRowLastColumn="0" w:lastRowFirstColumn="0" w:lastRowLastColumn="0"/>
            <w:tcW w:w="1794" w:type="dxa"/>
            <w:vAlign w:val="center"/>
          </w:tcPr>
          <w:p w14:paraId="51A69156" w14:textId="77777777" w:rsidR="008F5741" w:rsidRPr="00783653" w:rsidRDefault="008F5741" w:rsidP="008F5741">
            <w:pPr>
              <w:ind w:left="-112"/>
              <w:jc w:val="center"/>
              <w:rPr>
                <w:b w:val="0"/>
                <w:sz w:val="18"/>
                <w:szCs w:val="18"/>
                <w:highlight w:val="yellow"/>
              </w:rPr>
            </w:pPr>
            <w:r w:rsidRPr="00783653">
              <w:rPr>
                <w:b w:val="0"/>
                <w:sz w:val="18"/>
                <w:szCs w:val="18"/>
              </w:rPr>
              <w:t>Resolución Rectoral</w:t>
            </w:r>
          </w:p>
        </w:tc>
        <w:tc>
          <w:tcPr>
            <w:tcW w:w="861" w:type="dxa"/>
            <w:vAlign w:val="center"/>
          </w:tcPr>
          <w:p w14:paraId="7E22697A" w14:textId="77777777" w:rsidR="008F5741" w:rsidRPr="00783653" w:rsidRDefault="008F5741" w:rsidP="008F57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783653">
              <w:rPr>
                <w:sz w:val="18"/>
                <w:szCs w:val="18"/>
              </w:rPr>
              <w:t>43030</w:t>
            </w:r>
          </w:p>
        </w:tc>
        <w:tc>
          <w:tcPr>
            <w:tcW w:w="1037" w:type="dxa"/>
            <w:vAlign w:val="center"/>
          </w:tcPr>
          <w:p w14:paraId="09357A57" w14:textId="77777777" w:rsidR="008F5741" w:rsidRPr="00783653" w:rsidRDefault="008F5741" w:rsidP="008F57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783653">
              <w:rPr>
                <w:sz w:val="18"/>
                <w:szCs w:val="18"/>
              </w:rPr>
              <w:t>30/06/2017</w:t>
            </w:r>
          </w:p>
        </w:tc>
        <w:tc>
          <w:tcPr>
            <w:tcW w:w="1128" w:type="dxa"/>
            <w:vAlign w:val="center"/>
          </w:tcPr>
          <w:p w14:paraId="63A30963" w14:textId="77777777" w:rsidR="008F5741" w:rsidRPr="00783653" w:rsidRDefault="008F5741" w:rsidP="008F5741">
            <w:pPr>
              <w:ind w:right="164"/>
              <w:jc w:val="right"/>
              <w:cnfStyle w:val="000000000000" w:firstRow="0" w:lastRow="0" w:firstColumn="0" w:lastColumn="0" w:oddVBand="0" w:evenVBand="0" w:oddHBand="0" w:evenHBand="0" w:firstRowFirstColumn="0" w:firstRowLastColumn="0" w:lastRowFirstColumn="0" w:lastRowLastColumn="0"/>
              <w:rPr>
                <w:sz w:val="18"/>
                <w:szCs w:val="18"/>
              </w:rPr>
            </w:pPr>
          </w:p>
        </w:tc>
        <w:tc>
          <w:tcPr>
            <w:tcW w:w="992" w:type="dxa"/>
            <w:vAlign w:val="center"/>
          </w:tcPr>
          <w:p w14:paraId="00ABF422" w14:textId="77777777" w:rsidR="008F5741" w:rsidRPr="00783653" w:rsidRDefault="008F5741" w:rsidP="008F5741">
            <w:pPr>
              <w:ind w:right="31"/>
              <w:jc w:val="right"/>
              <w:cnfStyle w:val="000000000000" w:firstRow="0" w:lastRow="0" w:firstColumn="0" w:lastColumn="0" w:oddVBand="0" w:evenVBand="0" w:oddHBand="0" w:evenHBand="0" w:firstRowFirstColumn="0" w:firstRowLastColumn="0" w:lastRowFirstColumn="0" w:lastRowLastColumn="0"/>
              <w:rPr>
                <w:sz w:val="18"/>
                <w:szCs w:val="18"/>
              </w:rPr>
            </w:pPr>
          </w:p>
        </w:tc>
        <w:tc>
          <w:tcPr>
            <w:tcW w:w="2977" w:type="dxa"/>
            <w:vAlign w:val="center"/>
          </w:tcPr>
          <w:p w14:paraId="5FC175AC" w14:textId="108C1976" w:rsidR="008F5741" w:rsidRPr="00462F36" w:rsidRDefault="008F5741" w:rsidP="008F5741">
            <w:pPr>
              <w:ind w:right="-111"/>
              <w:cnfStyle w:val="000000000000" w:firstRow="0" w:lastRow="0" w:firstColumn="0" w:lastColumn="0" w:oddVBand="0" w:evenVBand="0" w:oddHBand="0" w:evenHBand="0" w:firstRowFirstColumn="0" w:firstRowLastColumn="0" w:lastRowFirstColumn="0" w:lastRowLastColumn="0"/>
              <w:rPr>
                <w:sz w:val="16"/>
                <w:szCs w:val="16"/>
              </w:rPr>
            </w:pPr>
            <w:r w:rsidRPr="00462F36">
              <w:rPr>
                <w:sz w:val="16"/>
                <w:szCs w:val="16"/>
              </w:rPr>
              <w:t xml:space="preserve">Crea en el presupuesto de los Fondos de Gestión de Apoyo a los Ejes Misionales de la Universidad de Antioquia, el Centro Gestor 10410037 </w:t>
            </w:r>
            <w:r w:rsidRPr="00E1445F">
              <w:rPr>
                <w:sz w:val="16"/>
                <w:szCs w:val="16"/>
              </w:rPr>
              <w:t>denominado</w:t>
            </w:r>
            <w:r w:rsidRPr="00462F36">
              <w:rPr>
                <w:sz w:val="16"/>
                <w:szCs w:val="16"/>
              </w:rPr>
              <w:t xml:space="preserve"> </w:t>
            </w:r>
            <w:r w:rsidR="00E1445F">
              <w:rPr>
                <w:sz w:val="16"/>
                <w:szCs w:val="16"/>
              </w:rPr>
              <w:t>Complejo de la Salud</w:t>
            </w:r>
          </w:p>
        </w:tc>
      </w:tr>
      <w:tr w:rsidR="008F5741" w:rsidRPr="008E22AC" w14:paraId="6163D395" w14:textId="77777777" w:rsidTr="00462F3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794" w:type="dxa"/>
            <w:vAlign w:val="center"/>
          </w:tcPr>
          <w:p w14:paraId="00E52D44" w14:textId="77777777" w:rsidR="008F5741" w:rsidRPr="00783653" w:rsidRDefault="008F5741" w:rsidP="008F5741">
            <w:pPr>
              <w:ind w:left="-112"/>
              <w:jc w:val="center"/>
              <w:rPr>
                <w:sz w:val="18"/>
                <w:szCs w:val="18"/>
              </w:rPr>
            </w:pPr>
            <w:r w:rsidRPr="00783653">
              <w:rPr>
                <w:b w:val="0"/>
                <w:sz w:val="18"/>
                <w:szCs w:val="18"/>
              </w:rPr>
              <w:t>Resolución Superior</w:t>
            </w:r>
          </w:p>
        </w:tc>
        <w:tc>
          <w:tcPr>
            <w:tcW w:w="861" w:type="dxa"/>
            <w:vAlign w:val="center"/>
          </w:tcPr>
          <w:p w14:paraId="730646C4" w14:textId="77777777" w:rsidR="008F5741" w:rsidRPr="00783653" w:rsidRDefault="008F5741" w:rsidP="008F57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783653">
              <w:rPr>
                <w:sz w:val="18"/>
                <w:szCs w:val="18"/>
              </w:rPr>
              <w:t>2185</w:t>
            </w:r>
          </w:p>
        </w:tc>
        <w:tc>
          <w:tcPr>
            <w:tcW w:w="1037" w:type="dxa"/>
            <w:vAlign w:val="center"/>
          </w:tcPr>
          <w:p w14:paraId="52D5CED4" w14:textId="77777777" w:rsidR="008F5741" w:rsidRPr="00783653" w:rsidRDefault="008F5741" w:rsidP="008F57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783653">
              <w:rPr>
                <w:sz w:val="18"/>
                <w:szCs w:val="18"/>
              </w:rPr>
              <w:t>25/07/2017</w:t>
            </w:r>
          </w:p>
        </w:tc>
        <w:tc>
          <w:tcPr>
            <w:tcW w:w="1128" w:type="dxa"/>
            <w:vAlign w:val="center"/>
          </w:tcPr>
          <w:p w14:paraId="6F6C8988" w14:textId="77777777" w:rsidR="008F5741" w:rsidRPr="00783653" w:rsidRDefault="008F5741" w:rsidP="008F5741">
            <w:pPr>
              <w:ind w:right="164"/>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992" w:type="dxa"/>
            <w:vAlign w:val="center"/>
          </w:tcPr>
          <w:p w14:paraId="31E5238A" w14:textId="77777777" w:rsidR="008F5741" w:rsidRPr="00783653" w:rsidRDefault="008F5741" w:rsidP="008F5741">
            <w:pPr>
              <w:ind w:right="31"/>
              <w:jc w:val="right"/>
              <w:cnfStyle w:val="000000100000" w:firstRow="0" w:lastRow="0" w:firstColumn="0" w:lastColumn="0" w:oddVBand="0" w:evenVBand="0" w:oddHBand="1" w:evenHBand="0" w:firstRowFirstColumn="0" w:firstRowLastColumn="0" w:lastRowFirstColumn="0" w:lastRowLastColumn="0"/>
              <w:rPr>
                <w:sz w:val="18"/>
                <w:szCs w:val="18"/>
              </w:rPr>
            </w:pPr>
            <w:r w:rsidRPr="00783653">
              <w:rPr>
                <w:sz w:val="18"/>
                <w:szCs w:val="18"/>
              </w:rPr>
              <w:t>$6.920</w:t>
            </w:r>
          </w:p>
        </w:tc>
        <w:tc>
          <w:tcPr>
            <w:tcW w:w="2977" w:type="dxa"/>
            <w:vAlign w:val="center"/>
          </w:tcPr>
          <w:p w14:paraId="3E9125CC" w14:textId="77777777" w:rsidR="008F5741" w:rsidRPr="00462F36" w:rsidRDefault="008F5741" w:rsidP="008F5741">
            <w:pPr>
              <w:ind w:right="-111"/>
              <w:cnfStyle w:val="000000100000" w:firstRow="0" w:lastRow="0" w:firstColumn="0" w:lastColumn="0" w:oddVBand="0" w:evenVBand="0" w:oddHBand="1" w:evenHBand="0" w:firstRowFirstColumn="0" w:firstRowLastColumn="0" w:lastRowFirstColumn="0" w:lastRowLastColumn="0"/>
              <w:rPr>
                <w:sz w:val="16"/>
                <w:szCs w:val="16"/>
              </w:rPr>
            </w:pPr>
            <w:r w:rsidRPr="00462F36">
              <w:rPr>
                <w:sz w:val="16"/>
                <w:szCs w:val="16"/>
              </w:rPr>
              <w:t>Autoriza la contratación directa con la CIS, para la consecución de los estudios y diseños del denominado Complejo de la Salud</w:t>
            </w:r>
          </w:p>
        </w:tc>
      </w:tr>
      <w:tr w:rsidR="008F5741" w:rsidRPr="008E22AC" w14:paraId="662BBAD2" w14:textId="77777777" w:rsidTr="00462F36">
        <w:trPr>
          <w:trHeight w:val="1291"/>
        </w:trPr>
        <w:tc>
          <w:tcPr>
            <w:cnfStyle w:val="001000000000" w:firstRow="0" w:lastRow="0" w:firstColumn="1" w:lastColumn="0" w:oddVBand="0" w:evenVBand="0" w:oddHBand="0" w:evenHBand="0" w:firstRowFirstColumn="0" w:firstRowLastColumn="0" w:lastRowFirstColumn="0" w:lastRowLastColumn="0"/>
            <w:tcW w:w="1794" w:type="dxa"/>
            <w:vAlign w:val="center"/>
          </w:tcPr>
          <w:p w14:paraId="4DB8D81D" w14:textId="77777777" w:rsidR="008F5741" w:rsidRPr="00783653" w:rsidRDefault="008F5741" w:rsidP="008F5741">
            <w:pPr>
              <w:ind w:left="-112"/>
              <w:jc w:val="center"/>
              <w:rPr>
                <w:sz w:val="18"/>
                <w:szCs w:val="18"/>
              </w:rPr>
            </w:pPr>
            <w:r w:rsidRPr="00783653">
              <w:rPr>
                <w:b w:val="0"/>
                <w:sz w:val="18"/>
                <w:szCs w:val="18"/>
              </w:rPr>
              <w:t>Resolución Superior</w:t>
            </w:r>
          </w:p>
        </w:tc>
        <w:tc>
          <w:tcPr>
            <w:tcW w:w="861" w:type="dxa"/>
            <w:vAlign w:val="center"/>
          </w:tcPr>
          <w:p w14:paraId="4747BA55" w14:textId="77777777" w:rsidR="008F5741" w:rsidRPr="00783653" w:rsidRDefault="008F5741" w:rsidP="008F57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783653">
              <w:rPr>
                <w:sz w:val="18"/>
                <w:szCs w:val="18"/>
              </w:rPr>
              <w:t>2191</w:t>
            </w:r>
          </w:p>
        </w:tc>
        <w:tc>
          <w:tcPr>
            <w:tcW w:w="1037" w:type="dxa"/>
            <w:vAlign w:val="center"/>
          </w:tcPr>
          <w:p w14:paraId="25C43B01" w14:textId="77777777" w:rsidR="008F5741" w:rsidRPr="00783653" w:rsidRDefault="008F5741" w:rsidP="008F57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783653">
              <w:rPr>
                <w:sz w:val="18"/>
                <w:szCs w:val="18"/>
              </w:rPr>
              <w:t>25/07/2017</w:t>
            </w:r>
          </w:p>
        </w:tc>
        <w:tc>
          <w:tcPr>
            <w:tcW w:w="1128" w:type="dxa"/>
            <w:vAlign w:val="center"/>
          </w:tcPr>
          <w:p w14:paraId="74184CF5" w14:textId="77777777" w:rsidR="008F5741" w:rsidRPr="00783653" w:rsidRDefault="008F5741" w:rsidP="008F5741">
            <w:pPr>
              <w:ind w:right="164"/>
              <w:jc w:val="right"/>
              <w:cnfStyle w:val="000000000000" w:firstRow="0" w:lastRow="0" w:firstColumn="0" w:lastColumn="0" w:oddVBand="0" w:evenVBand="0" w:oddHBand="0" w:evenHBand="0" w:firstRowFirstColumn="0" w:firstRowLastColumn="0" w:lastRowFirstColumn="0" w:lastRowLastColumn="0"/>
              <w:rPr>
                <w:sz w:val="18"/>
                <w:szCs w:val="18"/>
              </w:rPr>
            </w:pPr>
          </w:p>
        </w:tc>
        <w:tc>
          <w:tcPr>
            <w:tcW w:w="992" w:type="dxa"/>
            <w:vAlign w:val="center"/>
          </w:tcPr>
          <w:p w14:paraId="634D4AAA" w14:textId="77777777" w:rsidR="008F5741" w:rsidRPr="00783653" w:rsidRDefault="008F5741" w:rsidP="005440FD">
            <w:pPr>
              <w:ind w:right="31"/>
              <w:jc w:val="center"/>
              <w:cnfStyle w:val="000000000000" w:firstRow="0" w:lastRow="0" w:firstColumn="0" w:lastColumn="0" w:oddVBand="0" w:evenVBand="0" w:oddHBand="0" w:evenHBand="0" w:firstRowFirstColumn="0" w:firstRowLastColumn="0" w:lastRowFirstColumn="0" w:lastRowLastColumn="0"/>
              <w:rPr>
                <w:sz w:val="18"/>
                <w:szCs w:val="18"/>
              </w:rPr>
            </w:pPr>
            <w:r w:rsidRPr="00783653">
              <w:rPr>
                <w:sz w:val="18"/>
                <w:szCs w:val="18"/>
              </w:rPr>
              <w:t>x</w:t>
            </w:r>
          </w:p>
        </w:tc>
        <w:tc>
          <w:tcPr>
            <w:tcW w:w="2977" w:type="dxa"/>
            <w:vAlign w:val="center"/>
          </w:tcPr>
          <w:p w14:paraId="273638BF" w14:textId="77777777" w:rsidR="008F5741" w:rsidRPr="00462F36" w:rsidRDefault="008F5741" w:rsidP="008F5741">
            <w:pPr>
              <w:ind w:right="-106"/>
              <w:cnfStyle w:val="000000000000" w:firstRow="0" w:lastRow="0" w:firstColumn="0" w:lastColumn="0" w:oddVBand="0" w:evenVBand="0" w:oddHBand="0" w:evenHBand="0" w:firstRowFirstColumn="0" w:firstRowLastColumn="0" w:lastRowFirstColumn="0" w:lastRowLastColumn="0"/>
              <w:rPr>
                <w:sz w:val="16"/>
                <w:szCs w:val="16"/>
              </w:rPr>
            </w:pPr>
            <w:r w:rsidRPr="00462F36">
              <w:rPr>
                <w:sz w:val="16"/>
                <w:szCs w:val="16"/>
              </w:rPr>
              <w:t>Ordena que la devolución del IVA, correspondiente al pago por los bienes, insumos y servicios que se adquieran durante el proceso de preparación, construcción y dotación de los edificios del Complejo de la Salud, se reinviertan en el mismo proyecto.</w:t>
            </w:r>
          </w:p>
        </w:tc>
      </w:tr>
      <w:tr w:rsidR="008F5741" w:rsidRPr="008E22AC" w14:paraId="7CCA4527" w14:textId="77777777" w:rsidTr="00462F3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794" w:type="dxa"/>
            <w:vAlign w:val="center"/>
          </w:tcPr>
          <w:p w14:paraId="36AAF669" w14:textId="77777777" w:rsidR="008F5741" w:rsidRPr="00783653" w:rsidRDefault="008F5741" w:rsidP="008F5741">
            <w:pPr>
              <w:ind w:left="-112"/>
              <w:jc w:val="center"/>
              <w:rPr>
                <w:sz w:val="18"/>
                <w:szCs w:val="18"/>
              </w:rPr>
            </w:pPr>
            <w:r w:rsidRPr="00783653">
              <w:rPr>
                <w:b w:val="0"/>
                <w:sz w:val="18"/>
                <w:szCs w:val="18"/>
              </w:rPr>
              <w:t>Resolución Rectoral</w:t>
            </w:r>
          </w:p>
        </w:tc>
        <w:tc>
          <w:tcPr>
            <w:tcW w:w="861" w:type="dxa"/>
            <w:vAlign w:val="center"/>
          </w:tcPr>
          <w:p w14:paraId="57BBF81A" w14:textId="77777777" w:rsidR="008F5741" w:rsidRPr="00783653" w:rsidRDefault="008F5741" w:rsidP="008F57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783653">
              <w:rPr>
                <w:sz w:val="18"/>
                <w:szCs w:val="18"/>
              </w:rPr>
              <w:t>43331</w:t>
            </w:r>
          </w:p>
        </w:tc>
        <w:tc>
          <w:tcPr>
            <w:tcW w:w="1037" w:type="dxa"/>
            <w:vAlign w:val="center"/>
          </w:tcPr>
          <w:p w14:paraId="6129F51B" w14:textId="77777777" w:rsidR="008F5741" w:rsidRPr="00783653" w:rsidRDefault="008F5741" w:rsidP="008F57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783653">
              <w:rPr>
                <w:sz w:val="18"/>
                <w:szCs w:val="18"/>
              </w:rPr>
              <w:t>07/09/2017</w:t>
            </w:r>
          </w:p>
        </w:tc>
        <w:tc>
          <w:tcPr>
            <w:tcW w:w="1128" w:type="dxa"/>
            <w:vAlign w:val="center"/>
          </w:tcPr>
          <w:p w14:paraId="21ACE9B9" w14:textId="77777777" w:rsidR="008F5741" w:rsidRPr="00783653" w:rsidRDefault="008F5741" w:rsidP="008F5741">
            <w:pPr>
              <w:ind w:right="164"/>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992" w:type="dxa"/>
            <w:vAlign w:val="center"/>
          </w:tcPr>
          <w:p w14:paraId="018F1AAE" w14:textId="77777777" w:rsidR="008F5741" w:rsidRPr="00783653" w:rsidRDefault="008F5741" w:rsidP="005440FD">
            <w:pPr>
              <w:ind w:right="31"/>
              <w:jc w:val="center"/>
              <w:cnfStyle w:val="000000100000" w:firstRow="0" w:lastRow="0" w:firstColumn="0" w:lastColumn="0" w:oddVBand="0" w:evenVBand="0" w:oddHBand="1" w:evenHBand="0" w:firstRowFirstColumn="0" w:firstRowLastColumn="0" w:lastRowFirstColumn="0" w:lastRowLastColumn="0"/>
              <w:rPr>
                <w:sz w:val="18"/>
                <w:szCs w:val="18"/>
              </w:rPr>
            </w:pPr>
            <w:r w:rsidRPr="00783653">
              <w:rPr>
                <w:sz w:val="18"/>
                <w:szCs w:val="18"/>
              </w:rPr>
              <w:t>x</w:t>
            </w:r>
          </w:p>
        </w:tc>
        <w:tc>
          <w:tcPr>
            <w:tcW w:w="2977" w:type="dxa"/>
            <w:vAlign w:val="center"/>
          </w:tcPr>
          <w:p w14:paraId="69FF28BA" w14:textId="77777777" w:rsidR="008F5741" w:rsidRPr="00462F36" w:rsidRDefault="008F5741" w:rsidP="008F5741">
            <w:pPr>
              <w:ind w:right="-106"/>
              <w:cnfStyle w:val="000000100000" w:firstRow="0" w:lastRow="0" w:firstColumn="0" w:lastColumn="0" w:oddVBand="0" w:evenVBand="0" w:oddHBand="1" w:evenHBand="0" w:firstRowFirstColumn="0" w:firstRowLastColumn="0" w:lastRowFirstColumn="0" w:lastRowLastColumn="0"/>
              <w:rPr>
                <w:sz w:val="16"/>
                <w:szCs w:val="16"/>
              </w:rPr>
            </w:pPr>
            <w:r w:rsidRPr="00462F36">
              <w:rPr>
                <w:sz w:val="16"/>
                <w:szCs w:val="16"/>
              </w:rPr>
              <w:t>Crea los Comités para el "Proyecto Complejo de Salud -Potencial de Expansión de la Infraestructura en Salud de la Universidad de Antioquía".</w:t>
            </w:r>
          </w:p>
        </w:tc>
      </w:tr>
      <w:tr w:rsidR="008F5741" w:rsidRPr="008E22AC" w14:paraId="0DB4AA16" w14:textId="77777777" w:rsidTr="00462F36">
        <w:trPr>
          <w:trHeight w:val="964"/>
        </w:trPr>
        <w:tc>
          <w:tcPr>
            <w:cnfStyle w:val="001000000000" w:firstRow="0" w:lastRow="0" w:firstColumn="1" w:lastColumn="0" w:oddVBand="0" w:evenVBand="0" w:oddHBand="0" w:evenHBand="0" w:firstRowFirstColumn="0" w:firstRowLastColumn="0" w:lastRowFirstColumn="0" w:lastRowLastColumn="0"/>
            <w:tcW w:w="1794" w:type="dxa"/>
            <w:vAlign w:val="center"/>
          </w:tcPr>
          <w:p w14:paraId="76CBEFD0" w14:textId="77777777" w:rsidR="008F5741" w:rsidRPr="00783653" w:rsidRDefault="008F5741" w:rsidP="008F5741">
            <w:pPr>
              <w:ind w:left="-112"/>
              <w:jc w:val="center"/>
              <w:rPr>
                <w:sz w:val="18"/>
                <w:szCs w:val="18"/>
              </w:rPr>
            </w:pPr>
            <w:r w:rsidRPr="00783653">
              <w:rPr>
                <w:b w:val="0"/>
                <w:sz w:val="18"/>
                <w:szCs w:val="18"/>
              </w:rPr>
              <w:t>Resolución Superior</w:t>
            </w:r>
          </w:p>
        </w:tc>
        <w:tc>
          <w:tcPr>
            <w:tcW w:w="861" w:type="dxa"/>
            <w:vAlign w:val="center"/>
          </w:tcPr>
          <w:p w14:paraId="08BBE824" w14:textId="77777777" w:rsidR="008F5741" w:rsidRPr="00783653" w:rsidRDefault="008F5741" w:rsidP="008F57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783653">
              <w:rPr>
                <w:sz w:val="18"/>
                <w:szCs w:val="18"/>
              </w:rPr>
              <w:t>2237</w:t>
            </w:r>
          </w:p>
        </w:tc>
        <w:tc>
          <w:tcPr>
            <w:tcW w:w="1037" w:type="dxa"/>
            <w:vAlign w:val="center"/>
          </w:tcPr>
          <w:p w14:paraId="2BC55E02" w14:textId="77777777" w:rsidR="008F5741" w:rsidRPr="00783653" w:rsidRDefault="008F5741" w:rsidP="008F57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783653">
              <w:rPr>
                <w:sz w:val="18"/>
                <w:szCs w:val="18"/>
              </w:rPr>
              <w:t>30/01/2018</w:t>
            </w:r>
          </w:p>
        </w:tc>
        <w:tc>
          <w:tcPr>
            <w:tcW w:w="1128" w:type="dxa"/>
            <w:vAlign w:val="center"/>
          </w:tcPr>
          <w:p w14:paraId="4DB43DA8" w14:textId="77777777" w:rsidR="008F5741" w:rsidRPr="00783653" w:rsidRDefault="008F5741" w:rsidP="008F5741">
            <w:pPr>
              <w:ind w:right="164"/>
              <w:jc w:val="right"/>
              <w:cnfStyle w:val="000000000000" w:firstRow="0" w:lastRow="0" w:firstColumn="0" w:lastColumn="0" w:oddVBand="0" w:evenVBand="0" w:oddHBand="0" w:evenHBand="0" w:firstRowFirstColumn="0" w:firstRowLastColumn="0" w:lastRowFirstColumn="0" w:lastRowLastColumn="0"/>
              <w:rPr>
                <w:sz w:val="18"/>
                <w:szCs w:val="18"/>
              </w:rPr>
            </w:pPr>
          </w:p>
        </w:tc>
        <w:tc>
          <w:tcPr>
            <w:tcW w:w="992" w:type="dxa"/>
            <w:vAlign w:val="center"/>
          </w:tcPr>
          <w:p w14:paraId="16AE2216" w14:textId="77777777" w:rsidR="008F5741" w:rsidRPr="00783653" w:rsidRDefault="008F5741" w:rsidP="005440FD">
            <w:pPr>
              <w:ind w:right="31"/>
              <w:jc w:val="center"/>
              <w:cnfStyle w:val="000000000000" w:firstRow="0" w:lastRow="0" w:firstColumn="0" w:lastColumn="0" w:oddVBand="0" w:evenVBand="0" w:oddHBand="0" w:evenHBand="0" w:firstRowFirstColumn="0" w:firstRowLastColumn="0" w:lastRowFirstColumn="0" w:lastRowLastColumn="0"/>
              <w:rPr>
                <w:sz w:val="18"/>
                <w:szCs w:val="18"/>
              </w:rPr>
            </w:pPr>
            <w:r w:rsidRPr="00783653">
              <w:rPr>
                <w:sz w:val="18"/>
                <w:szCs w:val="18"/>
              </w:rPr>
              <w:t>x</w:t>
            </w:r>
          </w:p>
        </w:tc>
        <w:tc>
          <w:tcPr>
            <w:tcW w:w="2977" w:type="dxa"/>
            <w:vAlign w:val="center"/>
          </w:tcPr>
          <w:p w14:paraId="315E677B" w14:textId="77777777" w:rsidR="008F5741" w:rsidRPr="00462F36" w:rsidRDefault="008F5741" w:rsidP="008F5741">
            <w:pPr>
              <w:ind w:right="-105"/>
              <w:cnfStyle w:val="000000000000" w:firstRow="0" w:lastRow="0" w:firstColumn="0" w:lastColumn="0" w:oddVBand="0" w:evenVBand="0" w:oddHBand="0" w:evenHBand="0" w:firstRowFirstColumn="0" w:firstRowLastColumn="0" w:lastRowFirstColumn="0" w:lastRowLastColumn="0"/>
              <w:rPr>
                <w:sz w:val="16"/>
                <w:szCs w:val="16"/>
              </w:rPr>
            </w:pPr>
            <w:r w:rsidRPr="00462F36">
              <w:rPr>
                <w:sz w:val="16"/>
                <w:szCs w:val="16"/>
              </w:rPr>
              <w:t>Autoriza al Rector para que adelante las gestiones necesarias para viabilizar la celebración de un contrato de empréstito con destino a financiar el proyecto de inversión Complejo de la Salud.</w:t>
            </w:r>
          </w:p>
        </w:tc>
      </w:tr>
      <w:tr w:rsidR="008F5741" w:rsidRPr="008E22AC" w14:paraId="04722517" w14:textId="77777777" w:rsidTr="00462F36">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794" w:type="dxa"/>
            <w:vAlign w:val="center"/>
          </w:tcPr>
          <w:p w14:paraId="66EDBDA5" w14:textId="77777777" w:rsidR="008F5741" w:rsidRPr="00783653" w:rsidRDefault="008F5741" w:rsidP="008F5741">
            <w:pPr>
              <w:ind w:left="-112"/>
              <w:jc w:val="center"/>
              <w:rPr>
                <w:sz w:val="18"/>
                <w:szCs w:val="18"/>
              </w:rPr>
            </w:pPr>
            <w:r w:rsidRPr="00783653">
              <w:rPr>
                <w:b w:val="0"/>
                <w:sz w:val="18"/>
                <w:szCs w:val="18"/>
              </w:rPr>
              <w:t>Resolución Rectoral</w:t>
            </w:r>
          </w:p>
        </w:tc>
        <w:tc>
          <w:tcPr>
            <w:tcW w:w="861" w:type="dxa"/>
            <w:vAlign w:val="center"/>
          </w:tcPr>
          <w:p w14:paraId="499150DC" w14:textId="77777777" w:rsidR="008F5741" w:rsidRPr="00783653" w:rsidRDefault="008F5741" w:rsidP="008F57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783653">
              <w:rPr>
                <w:sz w:val="18"/>
                <w:szCs w:val="18"/>
              </w:rPr>
              <w:t>44139</w:t>
            </w:r>
          </w:p>
        </w:tc>
        <w:tc>
          <w:tcPr>
            <w:tcW w:w="1037" w:type="dxa"/>
            <w:vAlign w:val="center"/>
          </w:tcPr>
          <w:p w14:paraId="66D7F3AB" w14:textId="77777777" w:rsidR="008F5741" w:rsidRPr="00783653" w:rsidRDefault="008F5741" w:rsidP="008F57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783653">
              <w:rPr>
                <w:sz w:val="18"/>
                <w:szCs w:val="18"/>
              </w:rPr>
              <w:t>03/04/2018</w:t>
            </w:r>
          </w:p>
        </w:tc>
        <w:tc>
          <w:tcPr>
            <w:tcW w:w="1128" w:type="dxa"/>
            <w:vAlign w:val="center"/>
          </w:tcPr>
          <w:p w14:paraId="05ABC89B" w14:textId="77777777" w:rsidR="008F5741" w:rsidRPr="00783653" w:rsidRDefault="008F5741" w:rsidP="008F5741">
            <w:pPr>
              <w:ind w:right="164"/>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992" w:type="dxa"/>
            <w:vAlign w:val="center"/>
          </w:tcPr>
          <w:p w14:paraId="2A3BA1D9" w14:textId="77777777" w:rsidR="008F5741" w:rsidRPr="00783653" w:rsidRDefault="008F5741" w:rsidP="005440FD">
            <w:pPr>
              <w:ind w:right="31"/>
              <w:jc w:val="center"/>
              <w:cnfStyle w:val="000000100000" w:firstRow="0" w:lastRow="0" w:firstColumn="0" w:lastColumn="0" w:oddVBand="0" w:evenVBand="0" w:oddHBand="1" w:evenHBand="0" w:firstRowFirstColumn="0" w:firstRowLastColumn="0" w:lastRowFirstColumn="0" w:lastRowLastColumn="0"/>
              <w:rPr>
                <w:sz w:val="18"/>
                <w:szCs w:val="18"/>
              </w:rPr>
            </w:pPr>
            <w:r w:rsidRPr="00783653">
              <w:rPr>
                <w:sz w:val="18"/>
                <w:szCs w:val="18"/>
              </w:rPr>
              <w:t>x</w:t>
            </w:r>
          </w:p>
        </w:tc>
        <w:tc>
          <w:tcPr>
            <w:tcW w:w="2977" w:type="dxa"/>
            <w:vAlign w:val="center"/>
          </w:tcPr>
          <w:p w14:paraId="4CBCDCDF" w14:textId="77777777" w:rsidR="008F5741" w:rsidRPr="00462F36" w:rsidRDefault="008F5741" w:rsidP="008F5741">
            <w:pPr>
              <w:autoSpaceDE w:val="0"/>
              <w:autoSpaceDN w:val="0"/>
              <w:adjustRightInd w:val="0"/>
              <w:ind w:right="-106"/>
              <w:cnfStyle w:val="000000100000" w:firstRow="0" w:lastRow="0" w:firstColumn="0" w:lastColumn="0" w:oddVBand="0" w:evenVBand="0" w:oddHBand="1" w:evenHBand="0" w:firstRowFirstColumn="0" w:firstRowLastColumn="0" w:lastRowFirstColumn="0" w:lastRowLastColumn="0"/>
              <w:rPr>
                <w:sz w:val="16"/>
                <w:szCs w:val="16"/>
              </w:rPr>
            </w:pPr>
            <w:r w:rsidRPr="00462F36">
              <w:rPr>
                <w:sz w:val="16"/>
                <w:szCs w:val="16"/>
              </w:rPr>
              <w:t>Sustituye la Resolución Rectoral 43331 del 7 de septiembre de 2017, correspondiente a los comités del "Proyecto Complejo de la Salud -Potencial de Expansión de la Infraestructura de la -Universidad de Antioquia ".</w:t>
            </w:r>
          </w:p>
        </w:tc>
      </w:tr>
      <w:tr w:rsidR="008F5741" w:rsidRPr="008E22AC" w14:paraId="42C4685D" w14:textId="77777777" w:rsidTr="00462F36">
        <w:trPr>
          <w:trHeight w:val="510"/>
        </w:trPr>
        <w:tc>
          <w:tcPr>
            <w:cnfStyle w:val="001000000000" w:firstRow="0" w:lastRow="0" w:firstColumn="1" w:lastColumn="0" w:oddVBand="0" w:evenVBand="0" w:oddHBand="0" w:evenHBand="0" w:firstRowFirstColumn="0" w:firstRowLastColumn="0" w:lastRowFirstColumn="0" w:lastRowLastColumn="0"/>
            <w:tcW w:w="1794" w:type="dxa"/>
            <w:vAlign w:val="center"/>
          </w:tcPr>
          <w:p w14:paraId="2A05A12C" w14:textId="77777777" w:rsidR="008F5741" w:rsidRPr="00783653" w:rsidRDefault="008F5741" w:rsidP="008F5741">
            <w:pPr>
              <w:ind w:left="-112"/>
              <w:jc w:val="center"/>
              <w:rPr>
                <w:sz w:val="18"/>
                <w:szCs w:val="18"/>
              </w:rPr>
            </w:pPr>
          </w:p>
        </w:tc>
        <w:tc>
          <w:tcPr>
            <w:tcW w:w="861" w:type="dxa"/>
            <w:vAlign w:val="center"/>
          </w:tcPr>
          <w:p w14:paraId="3504E934" w14:textId="77777777" w:rsidR="008F5741" w:rsidRPr="00783653" w:rsidRDefault="008F5741" w:rsidP="008F5741">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037" w:type="dxa"/>
            <w:vAlign w:val="center"/>
          </w:tcPr>
          <w:p w14:paraId="18735007" w14:textId="77777777" w:rsidR="008F5741" w:rsidRPr="00783653" w:rsidRDefault="008F5741" w:rsidP="008F5741">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128" w:type="dxa"/>
            <w:vAlign w:val="center"/>
          </w:tcPr>
          <w:p w14:paraId="1AD1D1BF" w14:textId="77777777" w:rsidR="008F5741" w:rsidRPr="004324CB" w:rsidRDefault="008F5741" w:rsidP="008F5741">
            <w:pPr>
              <w:ind w:right="164"/>
              <w:jc w:val="right"/>
              <w:cnfStyle w:val="000000000000" w:firstRow="0" w:lastRow="0" w:firstColumn="0" w:lastColumn="0" w:oddVBand="0" w:evenVBand="0" w:oddHBand="0" w:evenHBand="0" w:firstRowFirstColumn="0" w:firstRowLastColumn="0" w:lastRowFirstColumn="0" w:lastRowLastColumn="0"/>
              <w:rPr>
                <w:b/>
                <w:sz w:val="18"/>
                <w:szCs w:val="18"/>
              </w:rPr>
            </w:pPr>
            <w:r w:rsidRPr="004324CB">
              <w:rPr>
                <w:b/>
                <w:sz w:val="22"/>
              </w:rPr>
              <w:t>$11.239</w:t>
            </w:r>
          </w:p>
        </w:tc>
        <w:tc>
          <w:tcPr>
            <w:tcW w:w="992" w:type="dxa"/>
            <w:vAlign w:val="center"/>
          </w:tcPr>
          <w:p w14:paraId="7E683E83" w14:textId="77777777" w:rsidR="008F5741" w:rsidRPr="004324CB" w:rsidRDefault="008F5741" w:rsidP="008F5741">
            <w:pPr>
              <w:ind w:right="31"/>
              <w:jc w:val="right"/>
              <w:cnfStyle w:val="000000000000" w:firstRow="0" w:lastRow="0" w:firstColumn="0" w:lastColumn="0" w:oddVBand="0" w:evenVBand="0" w:oddHBand="0" w:evenHBand="0" w:firstRowFirstColumn="0" w:firstRowLastColumn="0" w:lastRowFirstColumn="0" w:lastRowLastColumn="0"/>
              <w:rPr>
                <w:b/>
                <w:sz w:val="18"/>
                <w:szCs w:val="18"/>
              </w:rPr>
            </w:pPr>
            <w:r w:rsidRPr="004324CB">
              <w:rPr>
                <w:b/>
                <w:sz w:val="22"/>
              </w:rPr>
              <w:t>$12.290</w:t>
            </w:r>
          </w:p>
        </w:tc>
        <w:tc>
          <w:tcPr>
            <w:tcW w:w="2977" w:type="dxa"/>
            <w:vAlign w:val="center"/>
          </w:tcPr>
          <w:p w14:paraId="0033154A" w14:textId="77777777" w:rsidR="008F5741" w:rsidRPr="007F266F" w:rsidRDefault="008F5741" w:rsidP="008F5741">
            <w:pPr>
              <w:autoSpaceDE w:val="0"/>
              <w:autoSpaceDN w:val="0"/>
              <w:adjustRightInd w:val="0"/>
              <w:ind w:right="-106"/>
              <w:cnfStyle w:val="000000000000" w:firstRow="0" w:lastRow="0" w:firstColumn="0" w:lastColumn="0" w:oddVBand="0" w:evenVBand="0" w:oddHBand="0" w:evenHBand="0" w:firstRowFirstColumn="0" w:firstRowLastColumn="0" w:lastRowFirstColumn="0" w:lastRowLastColumn="0"/>
              <w:rPr>
                <w:sz w:val="18"/>
                <w:szCs w:val="18"/>
              </w:rPr>
            </w:pPr>
          </w:p>
        </w:tc>
      </w:tr>
    </w:tbl>
    <w:p w14:paraId="6FB64B09" w14:textId="77777777" w:rsidR="00462F36" w:rsidRDefault="00462F36" w:rsidP="00462F36">
      <w:pPr>
        <w:rPr>
          <w:sz w:val="22"/>
          <w:szCs w:val="22"/>
        </w:rPr>
      </w:pPr>
    </w:p>
    <w:p w14:paraId="03E47F46" w14:textId="09E58550" w:rsidR="000971A5" w:rsidRDefault="000971A5">
      <w:pPr>
        <w:spacing w:after="160" w:line="259" w:lineRule="auto"/>
        <w:rPr>
          <w:sz w:val="22"/>
          <w:szCs w:val="22"/>
        </w:rPr>
      </w:pPr>
      <w:r>
        <w:rPr>
          <w:sz w:val="22"/>
          <w:szCs w:val="22"/>
        </w:rPr>
        <w:br w:type="page"/>
      </w:r>
    </w:p>
    <w:p w14:paraId="6FF346DE" w14:textId="77777777" w:rsidR="008F5741" w:rsidRPr="00EB4203" w:rsidRDefault="008F5741" w:rsidP="008F5741">
      <w:pPr>
        <w:rPr>
          <w:b/>
          <w:color w:val="385623" w:themeColor="accent6" w:themeShade="80"/>
          <w:sz w:val="22"/>
        </w:rPr>
      </w:pPr>
      <w:r>
        <w:rPr>
          <w:b/>
          <w:color w:val="385623" w:themeColor="accent6" w:themeShade="80"/>
          <w:sz w:val="22"/>
        </w:rPr>
        <w:lastRenderedPageBreak/>
        <w:t>Observación</w:t>
      </w:r>
    </w:p>
    <w:p w14:paraId="62F29374" w14:textId="77777777" w:rsidR="008F5741" w:rsidRDefault="008F5741" w:rsidP="008F5741">
      <w:pPr>
        <w:jc w:val="both"/>
        <w:rPr>
          <w:sz w:val="22"/>
        </w:rPr>
      </w:pPr>
      <w:r>
        <w:rPr>
          <w:sz w:val="22"/>
        </w:rPr>
        <w:t>Se identifica como primer acto administrativo la Resolución Superior 1915 de marzo de 2014, la cual autoriza al Rector para adquirir el inmueble de la antigua editorial Bedout para la Facultad Nacional de Salud Pública.  Posteriormente, a partir del año 2017 se inicia la emisión de actos administrativos asociados con el Complejo de la Salud.</w:t>
      </w:r>
    </w:p>
    <w:p w14:paraId="0F0FBD0F" w14:textId="77777777" w:rsidR="008F5741" w:rsidRPr="000D4D30" w:rsidRDefault="008F5741" w:rsidP="008F5741">
      <w:pPr>
        <w:jc w:val="both"/>
        <w:rPr>
          <w:sz w:val="18"/>
        </w:rPr>
      </w:pPr>
    </w:p>
    <w:p w14:paraId="69D49BD9" w14:textId="77777777" w:rsidR="008F5741" w:rsidRDefault="008F5741" w:rsidP="008F5741">
      <w:pPr>
        <w:jc w:val="both"/>
        <w:rPr>
          <w:sz w:val="22"/>
        </w:rPr>
      </w:pPr>
      <w:r>
        <w:rPr>
          <w:sz w:val="22"/>
        </w:rPr>
        <w:t xml:space="preserve">Se evidencian </w:t>
      </w:r>
      <w:r w:rsidRPr="00B52422">
        <w:rPr>
          <w:sz w:val="22"/>
        </w:rPr>
        <w:t xml:space="preserve">actos administrativos </w:t>
      </w:r>
      <w:r>
        <w:rPr>
          <w:sz w:val="22"/>
        </w:rPr>
        <w:t>con</w:t>
      </w:r>
      <w:r w:rsidRPr="00B52422">
        <w:rPr>
          <w:sz w:val="22"/>
        </w:rPr>
        <w:t xml:space="preserve"> asigna</w:t>
      </w:r>
      <w:r>
        <w:rPr>
          <w:sz w:val="22"/>
        </w:rPr>
        <w:t>ción de</w:t>
      </w:r>
      <w:r w:rsidRPr="00B52422">
        <w:rPr>
          <w:sz w:val="22"/>
        </w:rPr>
        <w:t xml:space="preserve"> recursos específicamente para la Facultad Nacional Salud</w:t>
      </w:r>
      <w:r>
        <w:rPr>
          <w:sz w:val="22"/>
        </w:rPr>
        <w:t xml:space="preserve"> Pública por </w:t>
      </w:r>
      <w:r w:rsidRPr="00B52422">
        <w:rPr>
          <w:sz w:val="22"/>
        </w:rPr>
        <w:t>$</w:t>
      </w:r>
      <w:r>
        <w:rPr>
          <w:sz w:val="22"/>
        </w:rPr>
        <w:t xml:space="preserve">11.239 millones y para el Complejo de la Salud por valor de </w:t>
      </w:r>
      <w:r w:rsidRPr="00B52422">
        <w:rPr>
          <w:sz w:val="22"/>
        </w:rPr>
        <w:t>$12.290</w:t>
      </w:r>
      <w:r>
        <w:rPr>
          <w:sz w:val="22"/>
        </w:rPr>
        <w:t xml:space="preserve"> millones.</w:t>
      </w:r>
    </w:p>
    <w:p w14:paraId="1C6BC4E7" w14:textId="77777777" w:rsidR="008F5741" w:rsidRDefault="008F5741" w:rsidP="008F5741">
      <w:pPr>
        <w:jc w:val="both"/>
        <w:rPr>
          <w:sz w:val="22"/>
        </w:rPr>
      </w:pPr>
    </w:p>
    <w:p w14:paraId="6D6D8910" w14:textId="77777777" w:rsidR="008F5741" w:rsidRPr="00A46716" w:rsidRDefault="008F5741" w:rsidP="008F5741">
      <w:pPr>
        <w:rPr>
          <w:b/>
          <w:color w:val="385623" w:themeColor="accent6" w:themeShade="80"/>
          <w:sz w:val="22"/>
        </w:rPr>
      </w:pPr>
      <w:r w:rsidRPr="00A46716">
        <w:rPr>
          <w:b/>
          <w:color w:val="385623" w:themeColor="accent6" w:themeShade="80"/>
          <w:sz w:val="22"/>
        </w:rPr>
        <w:t>Riesgo</w:t>
      </w:r>
    </w:p>
    <w:p w14:paraId="1E301F07" w14:textId="77777777" w:rsidR="008F5741" w:rsidRPr="00A46716" w:rsidRDefault="008F5741" w:rsidP="008F5741">
      <w:pPr>
        <w:jc w:val="both"/>
        <w:rPr>
          <w:sz w:val="22"/>
        </w:rPr>
      </w:pPr>
      <w:r w:rsidRPr="00A46716">
        <w:rPr>
          <w:sz w:val="22"/>
        </w:rPr>
        <w:t xml:space="preserve">Posible </w:t>
      </w:r>
      <w:r>
        <w:rPr>
          <w:sz w:val="22"/>
        </w:rPr>
        <w:t xml:space="preserve">riesgo en la </w:t>
      </w:r>
      <w:r w:rsidRPr="00A46716">
        <w:rPr>
          <w:sz w:val="22"/>
        </w:rPr>
        <w:t>aplicación de</w:t>
      </w:r>
      <w:r>
        <w:rPr>
          <w:sz w:val="22"/>
        </w:rPr>
        <w:t xml:space="preserve"> recursos públicos. </w:t>
      </w:r>
    </w:p>
    <w:p w14:paraId="37231EE5" w14:textId="77777777" w:rsidR="008F5741" w:rsidRPr="00A46716" w:rsidRDefault="008F5741" w:rsidP="008F5741">
      <w:pPr>
        <w:pStyle w:val="Prrafodelista"/>
        <w:ind w:left="0"/>
        <w:jc w:val="both"/>
        <w:rPr>
          <w:sz w:val="22"/>
          <w:szCs w:val="22"/>
        </w:rPr>
      </w:pPr>
    </w:p>
    <w:p w14:paraId="5964F861" w14:textId="77777777" w:rsidR="008F5741" w:rsidRPr="00A46716" w:rsidRDefault="008F5741" w:rsidP="008F5741">
      <w:pPr>
        <w:rPr>
          <w:b/>
          <w:color w:val="385623" w:themeColor="accent6" w:themeShade="80"/>
          <w:sz w:val="22"/>
        </w:rPr>
      </w:pPr>
      <w:r w:rsidRPr="00A46716">
        <w:rPr>
          <w:b/>
          <w:color w:val="385623" w:themeColor="accent6" w:themeShade="80"/>
          <w:sz w:val="22"/>
        </w:rPr>
        <w:t>Recomendación</w:t>
      </w:r>
    </w:p>
    <w:p w14:paraId="11997C21" w14:textId="77777777" w:rsidR="008F5741" w:rsidRPr="00A46716" w:rsidRDefault="008F5741" w:rsidP="008F5741">
      <w:pPr>
        <w:jc w:val="both"/>
        <w:rPr>
          <w:sz w:val="22"/>
        </w:rPr>
      </w:pPr>
      <w:r>
        <w:rPr>
          <w:sz w:val="22"/>
        </w:rPr>
        <w:t>A</w:t>
      </w:r>
      <w:r w:rsidRPr="00A46716">
        <w:rPr>
          <w:sz w:val="22"/>
        </w:rPr>
        <w:t>n</w:t>
      </w:r>
      <w:r>
        <w:rPr>
          <w:sz w:val="22"/>
        </w:rPr>
        <w:t>a</w:t>
      </w:r>
      <w:r w:rsidRPr="00A46716">
        <w:rPr>
          <w:sz w:val="22"/>
        </w:rPr>
        <w:t>li</w:t>
      </w:r>
      <w:r>
        <w:rPr>
          <w:sz w:val="22"/>
        </w:rPr>
        <w:t>zar</w:t>
      </w:r>
      <w:r w:rsidRPr="00A46716">
        <w:rPr>
          <w:sz w:val="22"/>
        </w:rPr>
        <w:t xml:space="preserve"> los actos administrativos emitidos por el Consejo Superior y el Rector</w:t>
      </w:r>
      <w:r>
        <w:rPr>
          <w:sz w:val="22"/>
        </w:rPr>
        <w:t xml:space="preserve"> de </w:t>
      </w:r>
      <w:r w:rsidRPr="00A46716">
        <w:rPr>
          <w:sz w:val="22"/>
        </w:rPr>
        <w:t>asigna</w:t>
      </w:r>
      <w:r>
        <w:rPr>
          <w:sz w:val="22"/>
        </w:rPr>
        <w:t>ción de</w:t>
      </w:r>
      <w:r w:rsidRPr="00A46716">
        <w:rPr>
          <w:sz w:val="22"/>
        </w:rPr>
        <w:t xml:space="preserve"> recursos a la Facultad Nacional de Salud Pública y la viabilidad de aplica</w:t>
      </w:r>
      <w:r>
        <w:rPr>
          <w:sz w:val="22"/>
        </w:rPr>
        <w:t>rlos</w:t>
      </w:r>
      <w:r w:rsidRPr="00A46716">
        <w:rPr>
          <w:sz w:val="22"/>
        </w:rPr>
        <w:t xml:space="preserve"> en otro proyecto.</w:t>
      </w:r>
    </w:p>
    <w:p w14:paraId="483BBE20" w14:textId="67370E3C" w:rsidR="008F5741" w:rsidRDefault="008F5741" w:rsidP="008F5741">
      <w:pPr>
        <w:jc w:val="both"/>
        <w:rPr>
          <w:sz w:val="22"/>
        </w:rPr>
      </w:pPr>
    </w:p>
    <w:p w14:paraId="2D766CEE" w14:textId="56805A64" w:rsidR="00D838E9" w:rsidRPr="00A46716" w:rsidRDefault="00D838E9" w:rsidP="00D838E9">
      <w:pPr>
        <w:rPr>
          <w:b/>
          <w:color w:val="385623" w:themeColor="accent6" w:themeShade="80"/>
          <w:sz w:val="22"/>
        </w:rPr>
      </w:pPr>
      <w:r>
        <w:rPr>
          <w:b/>
          <w:color w:val="385623" w:themeColor="accent6" w:themeShade="80"/>
          <w:sz w:val="22"/>
        </w:rPr>
        <w:t>Comentarios Administración</w:t>
      </w:r>
    </w:p>
    <w:p w14:paraId="4629FAE6" w14:textId="5E77B07E" w:rsidR="00D838E9" w:rsidRDefault="00D838E9" w:rsidP="008F5741">
      <w:pPr>
        <w:jc w:val="both"/>
        <w:rPr>
          <w:sz w:val="22"/>
        </w:rPr>
      </w:pPr>
      <w:r>
        <w:rPr>
          <w:sz w:val="22"/>
        </w:rPr>
        <w:t>La directora general del proyecto solicita tener en cuenta el considerando y el resuelve de la Resolución Superior 1915. El Jefe de Infraestructura física esta de acuerdo.</w:t>
      </w:r>
    </w:p>
    <w:p w14:paraId="36F9BE0C" w14:textId="77777777" w:rsidR="008F5741" w:rsidRPr="00A46716" w:rsidRDefault="008F5741" w:rsidP="008F5741">
      <w:pPr>
        <w:jc w:val="both"/>
        <w:rPr>
          <w:sz w:val="22"/>
        </w:rPr>
      </w:pPr>
    </w:p>
    <w:p w14:paraId="25FCA5D5" w14:textId="77777777" w:rsidR="008F5741" w:rsidRPr="00B3503F" w:rsidRDefault="008F5741" w:rsidP="008F5741">
      <w:pPr>
        <w:pStyle w:val="Ttulo3"/>
        <w:numPr>
          <w:ilvl w:val="2"/>
          <w:numId w:val="6"/>
        </w:numPr>
        <w:ind w:left="709" w:hanging="709"/>
        <w:rPr>
          <w:rFonts w:ascii="Times New Roman" w:hAnsi="Times New Roman" w:cs="Times New Roman"/>
          <w:b/>
          <w:color w:val="385623" w:themeColor="accent6" w:themeShade="80"/>
          <w:sz w:val="22"/>
        </w:rPr>
      </w:pPr>
      <w:bookmarkStart w:id="12" w:name="_Toc512332499"/>
      <w:bookmarkStart w:id="13" w:name="_Toc526516466"/>
      <w:r w:rsidRPr="00B3503F">
        <w:rPr>
          <w:rFonts w:ascii="Times New Roman" w:hAnsi="Times New Roman" w:cs="Times New Roman"/>
          <w:b/>
          <w:color w:val="385623" w:themeColor="accent6" w:themeShade="80"/>
          <w:sz w:val="22"/>
        </w:rPr>
        <w:t>Unidades que conforman el Proyecto</w:t>
      </w:r>
      <w:bookmarkEnd w:id="12"/>
      <w:bookmarkEnd w:id="13"/>
    </w:p>
    <w:p w14:paraId="68729D31" w14:textId="77777777" w:rsidR="008F5741" w:rsidRDefault="008F5741" w:rsidP="008F5741">
      <w:pPr>
        <w:jc w:val="both"/>
        <w:rPr>
          <w:sz w:val="22"/>
        </w:rPr>
      </w:pPr>
    </w:p>
    <w:p w14:paraId="10053F37" w14:textId="77777777" w:rsidR="008F5741" w:rsidRDefault="008F5741" w:rsidP="008F5741">
      <w:pPr>
        <w:jc w:val="both"/>
        <w:rPr>
          <w:sz w:val="22"/>
        </w:rPr>
      </w:pPr>
      <w:r>
        <w:rPr>
          <w:sz w:val="22"/>
        </w:rPr>
        <w:t>Al respecto, se realizan las siguientes anotaciones:</w:t>
      </w:r>
    </w:p>
    <w:p w14:paraId="3456CF5D" w14:textId="77777777" w:rsidR="008F5741" w:rsidRPr="005778E0" w:rsidRDefault="008F5741" w:rsidP="008F5741">
      <w:pPr>
        <w:jc w:val="both"/>
        <w:rPr>
          <w:sz w:val="22"/>
        </w:rPr>
      </w:pPr>
    </w:p>
    <w:p w14:paraId="015DE6F9" w14:textId="77777777" w:rsidR="008F5741" w:rsidRPr="00AB7A52" w:rsidRDefault="008F5741" w:rsidP="008F5741">
      <w:pPr>
        <w:pStyle w:val="Prrafodelista"/>
        <w:numPr>
          <w:ilvl w:val="0"/>
          <w:numId w:val="10"/>
        </w:numPr>
        <w:jc w:val="both"/>
        <w:rPr>
          <w:sz w:val="22"/>
        </w:rPr>
      </w:pPr>
      <w:r>
        <w:rPr>
          <w:sz w:val="22"/>
        </w:rPr>
        <w:t>E</w:t>
      </w:r>
      <w:r w:rsidRPr="00AB7A52">
        <w:rPr>
          <w:sz w:val="22"/>
        </w:rPr>
        <w:t xml:space="preserve">l considerando 5 </w:t>
      </w:r>
      <w:r>
        <w:rPr>
          <w:sz w:val="22"/>
        </w:rPr>
        <w:t>de l</w:t>
      </w:r>
      <w:r w:rsidRPr="00AB7A52">
        <w:rPr>
          <w:sz w:val="22"/>
        </w:rPr>
        <w:t>a Resolución Superior 2237 del 30 de enero de 2018, determinó prioritario el desarrollo del proyecto denominado Complejo de la Salud para construcción y dotación de una nueva sede para varias unidades del área de la Salud</w:t>
      </w:r>
      <w:r>
        <w:rPr>
          <w:sz w:val="22"/>
        </w:rPr>
        <w:t xml:space="preserve">, sin </w:t>
      </w:r>
      <w:r w:rsidRPr="00AB7A52">
        <w:rPr>
          <w:sz w:val="22"/>
        </w:rPr>
        <w:t>relacion</w:t>
      </w:r>
      <w:r>
        <w:rPr>
          <w:sz w:val="22"/>
        </w:rPr>
        <w:t>ar</w:t>
      </w:r>
      <w:r w:rsidRPr="00AB7A52">
        <w:rPr>
          <w:sz w:val="22"/>
        </w:rPr>
        <w:t xml:space="preserve"> explícitamente </w:t>
      </w:r>
      <w:r>
        <w:rPr>
          <w:sz w:val="22"/>
        </w:rPr>
        <w:t>la</w:t>
      </w:r>
      <w:r w:rsidRPr="00AB7A52">
        <w:rPr>
          <w:sz w:val="22"/>
        </w:rPr>
        <w:t xml:space="preserve"> integraci</w:t>
      </w:r>
      <w:r>
        <w:rPr>
          <w:sz w:val="22"/>
        </w:rPr>
        <w:t>ón</w:t>
      </w:r>
      <w:r w:rsidRPr="00AB7A52">
        <w:rPr>
          <w:sz w:val="22"/>
        </w:rPr>
        <w:t>.</w:t>
      </w:r>
    </w:p>
    <w:p w14:paraId="0A729D2D" w14:textId="77777777" w:rsidR="008F5741" w:rsidRDefault="008F5741" w:rsidP="008F5741">
      <w:pPr>
        <w:jc w:val="both"/>
        <w:rPr>
          <w:sz w:val="22"/>
        </w:rPr>
      </w:pPr>
    </w:p>
    <w:p w14:paraId="6A047C19" w14:textId="77777777" w:rsidR="008F5741" w:rsidRPr="00AB7A52" w:rsidRDefault="008F5741" w:rsidP="008F5741">
      <w:pPr>
        <w:pStyle w:val="Prrafodelista"/>
        <w:numPr>
          <w:ilvl w:val="0"/>
          <w:numId w:val="10"/>
        </w:numPr>
        <w:jc w:val="both"/>
        <w:rPr>
          <w:sz w:val="22"/>
        </w:rPr>
      </w:pPr>
      <w:r>
        <w:rPr>
          <w:sz w:val="22"/>
        </w:rPr>
        <w:t>E</w:t>
      </w:r>
      <w:r w:rsidRPr="00AB7A52">
        <w:rPr>
          <w:sz w:val="22"/>
        </w:rPr>
        <w:t>l documento “Proyecto Complejo de la Salud de la Universidad de Antioquia”, preparado por la Dirección General del Proyecto y la División de Planes y Programas de la Dirección de Desarrollo Institucional, de abril de 2018, en la página 31 menciona:</w:t>
      </w:r>
    </w:p>
    <w:p w14:paraId="4919ABA0" w14:textId="77777777" w:rsidR="008F5741" w:rsidRPr="002F4A7A" w:rsidRDefault="008F5741" w:rsidP="008F5741">
      <w:pPr>
        <w:ind w:left="709"/>
        <w:jc w:val="both"/>
        <w:rPr>
          <w:sz w:val="18"/>
        </w:rPr>
      </w:pPr>
    </w:p>
    <w:p w14:paraId="78DA07DE" w14:textId="77777777" w:rsidR="008F5741" w:rsidRPr="000D4D30" w:rsidRDefault="008F5741" w:rsidP="008F5741">
      <w:pPr>
        <w:ind w:left="709" w:right="474"/>
        <w:jc w:val="both"/>
        <w:rPr>
          <w:i/>
          <w:sz w:val="18"/>
        </w:rPr>
      </w:pPr>
      <w:r w:rsidRPr="000D4D30">
        <w:rPr>
          <w:i/>
          <w:sz w:val="18"/>
        </w:rPr>
        <w:t>“Las siguientes Unidades Académicas están planeadas para ser parte del proyecto, las que para efectos del presente documento se entenderán como “Unidades del área de la Salud”:</w:t>
      </w:r>
    </w:p>
    <w:p w14:paraId="5F6CBB52" w14:textId="77777777" w:rsidR="008F5741" w:rsidRPr="000D4D30" w:rsidRDefault="008F5741" w:rsidP="008F5741">
      <w:pPr>
        <w:ind w:left="709" w:right="474" w:firstLine="284"/>
        <w:jc w:val="both"/>
        <w:rPr>
          <w:i/>
          <w:sz w:val="18"/>
        </w:rPr>
      </w:pPr>
      <w:r w:rsidRPr="000D4D30">
        <w:rPr>
          <w:i/>
          <w:sz w:val="18"/>
        </w:rPr>
        <w:t>Facultad de Odontología</w:t>
      </w:r>
    </w:p>
    <w:p w14:paraId="695B1360" w14:textId="77777777" w:rsidR="008F5741" w:rsidRPr="000D4D30" w:rsidRDefault="008F5741" w:rsidP="008F5741">
      <w:pPr>
        <w:ind w:left="709" w:right="474" w:firstLine="284"/>
        <w:jc w:val="both"/>
        <w:rPr>
          <w:i/>
          <w:sz w:val="18"/>
        </w:rPr>
      </w:pPr>
      <w:r w:rsidRPr="000D4D30">
        <w:rPr>
          <w:i/>
          <w:sz w:val="18"/>
        </w:rPr>
        <w:t>Facultad de Enfermería</w:t>
      </w:r>
    </w:p>
    <w:p w14:paraId="66033ADD" w14:textId="77777777" w:rsidR="008F5741" w:rsidRPr="000D4D30" w:rsidRDefault="008F5741" w:rsidP="008F5741">
      <w:pPr>
        <w:ind w:left="709" w:right="474" w:firstLine="284"/>
        <w:jc w:val="both"/>
        <w:rPr>
          <w:i/>
          <w:sz w:val="18"/>
        </w:rPr>
      </w:pPr>
      <w:r w:rsidRPr="000D4D30">
        <w:rPr>
          <w:i/>
          <w:sz w:val="18"/>
        </w:rPr>
        <w:t>Facultad Nacional de Salud Pública (</w:t>
      </w:r>
      <w:r w:rsidRPr="000D4D30">
        <w:rPr>
          <w:i/>
          <w:sz w:val="18"/>
          <w:u w:val="single"/>
        </w:rPr>
        <w:t>por definir</w:t>
      </w:r>
      <w:r w:rsidRPr="000D4D30">
        <w:rPr>
          <w:i/>
          <w:sz w:val="18"/>
        </w:rPr>
        <w:t>)</w:t>
      </w:r>
    </w:p>
    <w:p w14:paraId="24F62D31" w14:textId="77777777" w:rsidR="008F5741" w:rsidRPr="000D4D30" w:rsidRDefault="008F5741" w:rsidP="008F5741">
      <w:pPr>
        <w:ind w:left="709" w:right="474" w:firstLine="284"/>
        <w:jc w:val="both"/>
        <w:rPr>
          <w:i/>
          <w:sz w:val="18"/>
        </w:rPr>
      </w:pPr>
      <w:r w:rsidRPr="000D4D30">
        <w:rPr>
          <w:i/>
          <w:sz w:val="18"/>
        </w:rPr>
        <w:t>Facultad de Ciencias Farmacéuticas y Alimentarias</w:t>
      </w:r>
    </w:p>
    <w:p w14:paraId="133082C7" w14:textId="77777777" w:rsidR="008F5741" w:rsidRPr="000D4D30" w:rsidRDefault="008F5741" w:rsidP="008F5741">
      <w:pPr>
        <w:ind w:left="709" w:right="474" w:firstLine="284"/>
        <w:jc w:val="both"/>
        <w:rPr>
          <w:i/>
          <w:sz w:val="18"/>
        </w:rPr>
      </w:pPr>
      <w:r w:rsidRPr="000D4D30">
        <w:rPr>
          <w:i/>
          <w:sz w:val="18"/>
        </w:rPr>
        <w:t>Escuela de Nutrición y Dietética</w:t>
      </w:r>
    </w:p>
    <w:p w14:paraId="4715B4D4" w14:textId="77777777" w:rsidR="008F5741" w:rsidRPr="000D4D30" w:rsidRDefault="008F5741" w:rsidP="008F5741">
      <w:pPr>
        <w:ind w:left="709" w:right="474" w:firstLine="284"/>
        <w:jc w:val="both"/>
        <w:rPr>
          <w:sz w:val="18"/>
        </w:rPr>
      </w:pPr>
      <w:r w:rsidRPr="000D4D30">
        <w:rPr>
          <w:i/>
          <w:sz w:val="18"/>
        </w:rPr>
        <w:t xml:space="preserve">Escuela de Microbiología.”    </w:t>
      </w:r>
      <w:r w:rsidRPr="000D4D30">
        <w:rPr>
          <w:sz w:val="18"/>
        </w:rPr>
        <w:t>(Subrayado por fuera del texto)</w:t>
      </w:r>
    </w:p>
    <w:p w14:paraId="26C70D1F" w14:textId="77777777" w:rsidR="008F5741" w:rsidRPr="005778E0" w:rsidRDefault="008F5741" w:rsidP="008F5741">
      <w:pPr>
        <w:ind w:left="709"/>
        <w:jc w:val="both"/>
        <w:rPr>
          <w:sz w:val="22"/>
          <w:szCs w:val="22"/>
        </w:rPr>
      </w:pPr>
    </w:p>
    <w:p w14:paraId="3D4F2B83" w14:textId="77777777" w:rsidR="008F5741" w:rsidRPr="00EB4203" w:rsidRDefault="008F5741" w:rsidP="008F5741">
      <w:pPr>
        <w:rPr>
          <w:b/>
          <w:color w:val="385623" w:themeColor="accent6" w:themeShade="80"/>
          <w:sz w:val="22"/>
        </w:rPr>
      </w:pPr>
      <w:r>
        <w:rPr>
          <w:b/>
          <w:color w:val="385623" w:themeColor="accent6" w:themeShade="80"/>
          <w:sz w:val="22"/>
        </w:rPr>
        <w:t>Observación</w:t>
      </w:r>
    </w:p>
    <w:p w14:paraId="214524D9" w14:textId="77777777" w:rsidR="008F5741" w:rsidRPr="002E12C1" w:rsidRDefault="008F5741" w:rsidP="008F5741">
      <w:pPr>
        <w:pStyle w:val="Prrafodelista"/>
        <w:ind w:left="0"/>
        <w:jc w:val="both"/>
        <w:rPr>
          <w:sz w:val="22"/>
          <w:szCs w:val="22"/>
        </w:rPr>
      </w:pPr>
      <w:r w:rsidRPr="002E12C1">
        <w:rPr>
          <w:sz w:val="22"/>
          <w:szCs w:val="22"/>
        </w:rPr>
        <w:t xml:space="preserve">No se obtuvo evidencia, ni se identificó un documento institucional, acta o acuerdo </w:t>
      </w:r>
      <w:r>
        <w:rPr>
          <w:sz w:val="22"/>
          <w:szCs w:val="22"/>
        </w:rPr>
        <w:t>para</w:t>
      </w:r>
      <w:r w:rsidRPr="002E12C1">
        <w:rPr>
          <w:sz w:val="22"/>
          <w:szCs w:val="22"/>
        </w:rPr>
        <w:t xml:space="preserve"> formali</w:t>
      </w:r>
      <w:r>
        <w:rPr>
          <w:sz w:val="22"/>
          <w:szCs w:val="22"/>
        </w:rPr>
        <w:t>zar</w:t>
      </w:r>
      <w:r w:rsidRPr="002E12C1">
        <w:rPr>
          <w:sz w:val="22"/>
          <w:szCs w:val="22"/>
        </w:rPr>
        <w:t xml:space="preserve"> la participación de las unidades académicas que conformarían el Proyecto del Complejo de la Salud.  </w:t>
      </w:r>
    </w:p>
    <w:p w14:paraId="74A34DA7" w14:textId="77777777" w:rsidR="008F5741" w:rsidRPr="002E12C1" w:rsidRDefault="008F5741" w:rsidP="008F5741">
      <w:pPr>
        <w:pStyle w:val="Prrafodelista"/>
        <w:ind w:left="0"/>
        <w:jc w:val="both"/>
        <w:rPr>
          <w:sz w:val="22"/>
          <w:szCs w:val="22"/>
        </w:rPr>
      </w:pPr>
    </w:p>
    <w:p w14:paraId="37E7020B" w14:textId="77777777" w:rsidR="008F5741" w:rsidRDefault="008F5741" w:rsidP="008F5741">
      <w:pPr>
        <w:pStyle w:val="Prrafodelista"/>
        <w:ind w:left="0"/>
        <w:jc w:val="both"/>
        <w:rPr>
          <w:sz w:val="22"/>
        </w:rPr>
      </w:pPr>
      <w:r>
        <w:rPr>
          <w:sz w:val="22"/>
          <w:szCs w:val="22"/>
        </w:rPr>
        <w:t>Al respecto, existen</w:t>
      </w:r>
      <w:r w:rsidRPr="002E12C1">
        <w:rPr>
          <w:sz w:val="22"/>
          <w:szCs w:val="22"/>
        </w:rPr>
        <w:t xml:space="preserve"> actas del Consejo Superior con extractos específicos relacionados con la Facultad Nacional de Salud que evidencian la no participación</w:t>
      </w:r>
      <w:r>
        <w:rPr>
          <w:sz w:val="22"/>
          <w:szCs w:val="22"/>
        </w:rPr>
        <w:t>;</w:t>
      </w:r>
      <w:r w:rsidRPr="002E12C1">
        <w:rPr>
          <w:sz w:val="22"/>
          <w:szCs w:val="22"/>
        </w:rPr>
        <w:t xml:space="preserve"> actas del Consejo de la Facultad Nacional de Salud Pública dan cuenta de su no participación; sin embargo, en la fase de diagnóstico del diseño se observa participación en talleres, visitas directas, inventarios, consultas y en general lo relacionado </w:t>
      </w:r>
      <w:r>
        <w:rPr>
          <w:sz w:val="22"/>
          <w:szCs w:val="22"/>
        </w:rPr>
        <w:t>con</w:t>
      </w:r>
      <w:r w:rsidRPr="002E12C1">
        <w:rPr>
          <w:sz w:val="22"/>
          <w:szCs w:val="22"/>
        </w:rPr>
        <w:t xml:space="preserve"> la etapa de diagnóstico.</w:t>
      </w:r>
      <w:r w:rsidRPr="00C03CAE">
        <w:rPr>
          <w:sz w:val="22"/>
        </w:rPr>
        <w:t xml:space="preserve"> </w:t>
      </w:r>
    </w:p>
    <w:p w14:paraId="34463BEF" w14:textId="4D7FF5D9" w:rsidR="008F5741" w:rsidRDefault="008F5741" w:rsidP="008F5741">
      <w:pPr>
        <w:pStyle w:val="Prrafodelista"/>
        <w:ind w:left="0"/>
        <w:jc w:val="both"/>
        <w:rPr>
          <w:sz w:val="22"/>
        </w:rPr>
      </w:pPr>
    </w:p>
    <w:p w14:paraId="41076DD5" w14:textId="77777777" w:rsidR="00D838E9" w:rsidRDefault="00D838E9" w:rsidP="008F5741">
      <w:pPr>
        <w:pStyle w:val="Prrafodelista"/>
        <w:ind w:left="0"/>
        <w:jc w:val="both"/>
        <w:rPr>
          <w:sz w:val="22"/>
        </w:rPr>
      </w:pPr>
    </w:p>
    <w:p w14:paraId="057614CC" w14:textId="77777777" w:rsidR="008F5741" w:rsidRPr="00EB4203" w:rsidRDefault="008F5741" w:rsidP="008F5741">
      <w:pPr>
        <w:rPr>
          <w:b/>
          <w:color w:val="385623" w:themeColor="accent6" w:themeShade="80"/>
          <w:sz w:val="22"/>
        </w:rPr>
      </w:pPr>
      <w:r>
        <w:rPr>
          <w:b/>
          <w:color w:val="385623" w:themeColor="accent6" w:themeShade="80"/>
          <w:sz w:val="22"/>
        </w:rPr>
        <w:lastRenderedPageBreak/>
        <w:t>Riesgo</w:t>
      </w:r>
    </w:p>
    <w:p w14:paraId="1E0888D7" w14:textId="77777777" w:rsidR="008F5741" w:rsidRPr="006E11A2" w:rsidRDefault="008F5741" w:rsidP="008F5741">
      <w:pPr>
        <w:pStyle w:val="Prrafodelista"/>
        <w:numPr>
          <w:ilvl w:val="0"/>
          <w:numId w:val="53"/>
        </w:numPr>
        <w:ind w:left="426" w:hanging="284"/>
        <w:jc w:val="both"/>
        <w:rPr>
          <w:sz w:val="22"/>
        </w:rPr>
      </w:pPr>
      <w:r w:rsidRPr="006E11A2">
        <w:rPr>
          <w:sz w:val="22"/>
        </w:rPr>
        <w:t>Inconformidades en la integración académica y administrativa.</w:t>
      </w:r>
    </w:p>
    <w:p w14:paraId="1088D7F7" w14:textId="03ADACF9" w:rsidR="00AD6455" w:rsidRPr="00AD6455" w:rsidRDefault="008F5741" w:rsidP="00AD6455">
      <w:pPr>
        <w:pStyle w:val="Prrafodelista"/>
        <w:numPr>
          <w:ilvl w:val="0"/>
          <w:numId w:val="53"/>
        </w:numPr>
        <w:spacing w:after="160" w:line="259" w:lineRule="auto"/>
        <w:ind w:left="426" w:hanging="284"/>
        <w:jc w:val="both"/>
        <w:rPr>
          <w:sz w:val="22"/>
        </w:rPr>
      </w:pPr>
      <w:r w:rsidRPr="00AD6455">
        <w:rPr>
          <w:sz w:val="22"/>
        </w:rPr>
        <w:t>Posible omisión en la identificación de necesidades para la elaboración de los diseños y planeación</w:t>
      </w:r>
    </w:p>
    <w:p w14:paraId="7E462EBD" w14:textId="77777777" w:rsidR="008F5741" w:rsidRPr="00EB4203" w:rsidRDefault="008F5741" w:rsidP="008F5741">
      <w:pPr>
        <w:rPr>
          <w:b/>
          <w:color w:val="385623" w:themeColor="accent6" w:themeShade="80"/>
          <w:sz w:val="22"/>
        </w:rPr>
      </w:pPr>
      <w:r>
        <w:rPr>
          <w:b/>
          <w:color w:val="385623" w:themeColor="accent6" w:themeShade="80"/>
          <w:sz w:val="22"/>
        </w:rPr>
        <w:t>Recomendación</w:t>
      </w:r>
    </w:p>
    <w:p w14:paraId="657BF980" w14:textId="77777777" w:rsidR="008F5741" w:rsidRPr="00142460" w:rsidRDefault="008F5741" w:rsidP="008F5741">
      <w:pPr>
        <w:pStyle w:val="Prrafodelista"/>
        <w:numPr>
          <w:ilvl w:val="0"/>
          <w:numId w:val="38"/>
        </w:numPr>
        <w:ind w:left="426" w:right="49" w:hanging="426"/>
        <w:jc w:val="both"/>
        <w:rPr>
          <w:sz w:val="22"/>
        </w:rPr>
      </w:pPr>
      <w:r w:rsidRPr="00142460">
        <w:rPr>
          <w:sz w:val="22"/>
        </w:rPr>
        <w:t>Formalizar mediante acto administrativo la participación de las dependencias que hacen o harán parte del proyecto.</w:t>
      </w:r>
    </w:p>
    <w:p w14:paraId="601F929E" w14:textId="77777777" w:rsidR="008F5741" w:rsidRDefault="008F5741" w:rsidP="008F5741">
      <w:pPr>
        <w:pStyle w:val="Prrafodelista"/>
        <w:numPr>
          <w:ilvl w:val="0"/>
          <w:numId w:val="38"/>
        </w:numPr>
        <w:ind w:left="426" w:right="49" w:hanging="426"/>
        <w:jc w:val="both"/>
        <w:rPr>
          <w:sz w:val="22"/>
        </w:rPr>
      </w:pPr>
      <w:r w:rsidRPr="00142460">
        <w:rPr>
          <w:sz w:val="22"/>
        </w:rPr>
        <w:t xml:space="preserve">Asegurar en la fase de diseño, la </w:t>
      </w:r>
      <w:r w:rsidRPr="008F5956">
        <w:rPr>
          <w:sz w:val="22"/>
        </w:rPr>
        <w:t>participación</w:t>
      </w:r>
      <w:r w:rsidRPr="00142460">
        <w:rPr>
          <w:sz w:val="22"/>
        </w:rPr>
        <w:t xml:space="preserve"> de las dependencias que conforman el proyecto y permita su intervención en la planeación y supervisión.</w:t>
      </w:r>
    </w:p>
    <w:p w14:paraId="36489F8D" w14:textId="77777777" w:rsidR="008F5741" w:rsidRPr="00142460" w:rsidRDefault="008F5741" w:rsidP="008F5741">
      <w:pPr>
        <w:pStyle w:val="Prrafodelista"/>
        <w:numPr>
          <w:ilvl w:val="0"/>
          <w:numId w:val="38"/>
        </w:numPr>
        <w:ind w:left="426" w:right="49" w:hanging="426"/>
        <w:jc w:val="both"/>
        <w:rPr>
          <w:sz w:val="22"/>
        </w:rPr>
      </w:pPr>
      <w:r>
        <w:rPr>
          <w:sz w:val="22"/>
        </w:rPr>
        <w:t>Promover la participación de Gestión del Talento Humano, para realizar un acompañamiento sobre la gestión del cambio a nivel institucional.</w:t>
      </w:r>
    </w:p>
    <w:p w14:paraId="1B1DAA22" w14:textId="77777777" w:rsidR="008F5741" w:rsidRDefault="008F5741" w:rsidP="008F5741">
      <w:pPr>
        <w:ind w:left="567" w:right="474"/>
        <w:jc w:val="both"/>
        <w:rPr>
          <w:sz w:val="22"/>
          <w:szCs w:val="22"/>
        </w:rPr>
      </w:pPr>
    </w:p>
    <w:p w14:paraId="5C149FE2" w14:textId="77777777" w:rsidR="008F5741" w:rsidRPr="00371ACF" w:rsidRDefault="008F5741" w:rsidP="008F5741">
      <w:pPr>
        <w:rPr>
          <w:b/>
          <w:color w:val="385623" w:themeColor="accent6" w:themeShade="80"/>
          <w:sz w:val="22"/>
        </w:rPr>
      </w:pPr>
      <w:r w:rsidRPr="00371ACF">
        <w:rPr>
          <w:b/>
          <w:color w:val="385623" w:themeColor="accent6" w:themeShade="80"/>
          <w:sz w:val="22"/>
        </w:rPr>
        <w:t xml:space="preserve">Comentarios Administración </w:t>
      </w:r>
    </w:p>
    <w:p w14:paraId="1E469086" w14:textId="77777777" w:rsidR="008F5741" w:rsidRPr="00371ACF" w:rsidRDefault="008F5741" w:rsidP="008F5741">
      <w:pPr>
        <w:jc w:val="both"/>
        <w:rPr>
          <w:sz w:val="22"/>
        </w:rPr>
      </w:pPr>
      <w:r w:rsidRPr="00371ACF">
        <w:rPr>
          <w:sz w:val="22"/>
        </w:rPr>
        <w:t>El Jefe de Inf</w:t>
      </w:r>
      <w:r>
        <w:rPr>
          <w:sz w:val="22"/>
        </w:rPr>
        <w:t>r</w:t>
      </w:r>
      <w:r w:rsidRPr="00371ACF">
        <w:rPr>
          <w:sz w:val="22"/>
        </w:rPr>
        <w:t>aestructura física</w:t>
      </w:r>
      <w:r>
        <w:rPr>
          <w:sz w:val="22"/>
        </w:rPr>
        <w:t>, actual interventor del proyecto, informó no tener conocimiento sobre un documento que formalice la participación de las unidades académicas.</w:t>
      </w:r>
    </w:p>
    <w:p w14:paraId="21F5219C" w14:textId="6B65BE36" w:rsidR="008F5741" w:rsidRDefault="008F5741" w:rsidP="008F5741">
      <w:pPr>
        <w:jc w:val="both"/>
        <w:rPr>
          <w:sz w:val="22"/>
        </w:rPr>
      </w:pPr>
    </w:p>
    <w:p w14:paraId="393EFEE0" w14:textId="77777777" w:rsidR="00D838E9" w:rsidRPr="00DB19E2" w:rsidRDefault="00D838E9" w:rsidP="008F5741">
      <w:pPr>
        <w:jc w:val="both"/>
        <w:rPr>
          <w:sz w:val="22"/>
        </w:rPr>
      </w:pPr>
    </w:p>
    <w:p w14:paraId="541724B4" w14:textId="77777777" w:rsidR="008F5741" w:rsidRPr="00B3503F" w:rsidRDefault="008F5741" w:rsidP="008F5741">
      <w:pPr>
        <w:pStyle w:val="Ttulo3"/>
        <w:numPr>
          <w:ilvl w:val="2"/>
          <w:numId w:val="6"/>
        </w:numPr>
        <w:ind w:left="709" w:hanging="709"/>
        <w:rPr>
          <w:rFonts w:ascii="Times New Roman" w:hAnsi="Times New Roman" w:cs="Times New Roman"/>
          <w:b/>
          <w:color w:val="385623" w:themeColor="accent6" w:themeShade="80"/>
          <w:sz w:val="22"/>
        </w:rPr>
      </w:pPr>
      <w:bookmarkStart w:id="14" w:name="_Toc526516467"/>
      <w:r>
        <w:rPr>
          <w:rFonts w:ascii="Times New Roman" w:hAnsi="Times New Roman" w:cs="Times New Roman"/>
          <w:b/>
          <w:color w:val="385623" w:themeColor="accent6" w:themeShade="80"/>
          <w:sz w:val="22"/>
        </w:rPr>
        <w:t xml:space="preserve">Estructura </w:t>
      </w:r>
      <w:r w:rsidRPr="00B3503F">
        <w:rPr>
          <w:rFonts w:ascii="Times New Roman" w:hAnsi="Times New Roman" w:cs="Times New Roman"/>
          <w:b/>
          <w:color w:val="385623" w:themeColor="accent6" w:themeShade="80"/>
          <w:sz w:val="22"/>
        </w:rPr>
        <w:t>del proyecto</w:t>
      </w:r>
      <w:r>
        <w:rPr>
          <w:rFonts w:ascii="Times New Roman" w:hAnsi="Times New Roman" w:cs="Times New Roman"/>
          <w:b/>
          <w:color w:val="385623" w:themeColor="accent6" w:themeShade="80"/>
          <w:sz w:val="22"/>
        </w:rPr>
        <w:t xml:space="preserve"> e interventoría</w:t>
      </w:r>
      <w:bookmarkEnd w:id="14"/>
    </w:p>
    <w:p w14:paraId="16E7EEBA" w14:textId="77777777" w:rsidR="008F5741" w:rsidRDefault="008F5741" w:rsidP="008F5741">
      <w:pPr>
        <w:rPr>
          <w:sz w:val="22"/>
        </w:rPr>
      </w:pPr>
    </w:p>
    <w:p w14:paraId="5ABE072C" w14:textId="77777777" w:rsidR="008F5741" w:rsidRDefault="008F5741" w:rsidP="008F5741">
      <w:pPr>
        <w:jc w:val="both"/>
        <w:rPr>
          <w:sz w:val="22"/>
        </w:rPr>
      </w:pPr>
      <w:r>
        <w:rPr>
          <w:sz w:val="22"/>
        </w:rPr>
        <w:t>D</w:t>
      </w:r>
      <w:r w:rsidRPr="00AE1442">
        <w:rPr>
          <w:sz w:val="22"/>
        </w:rPr>
        <w:t>e acuerdo con las actas, la información sumin</w:t>
      </w:r>
      <w:r>
        <w:rPr>
          <w:sz w:val="22"/>
        </w:rPr>
        <w:t>istrada y consultada, a continuación, se presenta la estructura identificada d</w:t>
      </w:r>
      <w:r w:rsidRPr="00AE1442">
        <w:rPr>
          <w:sz w:val="22"/>
        </w:rPr>
        <w:t>el proyecto</w:t>
      </w:r>
      <w:r>
        <w:rPr>
          <w:sz w:val="22"/>
        </w:rPr>
        <w:t>:</w:t>
      </w:r>
    </w:p>
    <w:p w14:paraId="47260644" w14:textId="77777777" w:rsidR="008F5741" w:rsidRDefault="008F5741" w:rsidP="008F5741">
      <w:pPr>
        <w:rPr>
          <w:sz w:val="18"/>
        </w:rPr>
      </w:pPr>
    </w:p>
    <w:tbl>
      <w:tblPr>
        <w:tblStyle w:val="Tablaconcuadrcula"/>
        <w:tblW w:w="9394" w:type="dxa"/>
        <w:jc w:val="center"/>
        <w:tblLook w:val="04A0" w:firstRow="1" w:lastRow="0" w:firstColumn="1" w:lastColumn="0" w:noHBand="0" w:noVBand="1"/>
      </w:tblPr>
      <w:tblGrid>
        <w:gridCol w:w="1002"/>
        <w:gridCol w:w="227"/>
        <w:gridCol w:w="1871"/>
        <w:gridCol w:w="227"/>
        <w:gridCol w:w="1871"/>
        <w:gridCol w:w="236"/>
        <w:gridCol w:w="1862"/>
        <w:gridCol w:w="236"/>
        <w:gridCol w:w="1862"/>
      </w:tblGrid>
      <w:tr w:rsidR="008F5741" w:rsidRPr="00AD6455" w14:paraId="52A6631F" w14:textId="77777777" w:rsidTr="008F5741">
        <w:trPr>
          <w:jc w:val="center"/>
        </w:trPr>
        <w:tc>
          <w:tcPr>
            <w:tcW w:w="1002" w:type="dxa"/>
            <w:tcBorders>
              <w:top w:val="nil"/>
              <w:left w:val="nil"/>
              <w:bottom w:val="nil"/>
              <w:right w:val="nil"/>
            </w:tcBorders>
            <w:shd w:val="clear" w:color="auto" w:fill="auto"/>
          </w:tcPr>
          <w:p w14:paraId="18CB2C08" w14:textId="77777777" w:rsidR="008F5741" w:rsidRPr="00AD6455" w:rsidRDefault="008F5741" w:rsidP="008F5741">
            <w:pPr>
              <w:jc w:val="center"/>
              <w:rPr>
                <w:i/>
                <w:sz w:val="16"/>
              </w:rPr>
            </w:pPr>
          </w:p>
        </w:tc>
        <w:tc>
          <w:tcPr>
            <w:tcW w:w="227" w:type="dxa"/>
            <w:tcBorders>
              <w:top w:val="nil"/>
              <w:left w:val="nil"/>
              <w:bottom w:val="nil"/>
            </w:tcBorders>
            <w:shd w:val="clear" w:color="auto" w:fill="auto"/>
            <w:vAlign w:val="center"/>
          </w:tcPr>
          <w:p w14:paraId="4564F3C4" w14:textId="77777777" w:rsidR="008F5741" w:rsidRPr="00AD6455" w:rsidRDefault="008F5741" w:rsidP="008F5741">
            <w:pPr>
              <w:jc w:val="center"/>
              <w:rPr>
                <w:i/>
                <w:sz w:val="16"/>
              </w:rPr>
            </w:pPr>
          </w:p>
        </w:tc>
        <w:tc>
          <w:tcPr>
            <w:tcW w:w="1871" w:type="dxa"/>
            <w:tcBorders>
              <w:bottom w:val="single" w:sz="4" w:space="0" w:color="auto"/>
            </w:tcBorders>
            <w:shd w:val="clear" w:color="auto" w:fill="E2EFD9" w:themeFill="accent6" w:themeFillTint="33"/>
            <w:vAlign w:val="center"/>
          </w:tcPr>
          <w:p w14:paraId="4CE87D45" w14:textId="77777777" w:rsidR="008F5741" w:rsidRPr="00AD6455" w:rsidRDefault="008F5741" w:rsidP="008F5741">
            <w:pPr>
              <w:jc w:val="center"/>
              <w:rPr>
                <w:i/>
                <w:sz w:val="16"/>
              </w:rPr>
            </w:pPr>
            <w:r w:rsidRPr="00AD6455">
              <w:rPr>
                <w:i/>
                <w:sz w:val="16"/>
              </w:rPr>
              <w:t xml:space="preserve">Dirección </w:t>
            </w:r>
          </w:p>
          <w:p w14:paraId="0E1A9C75" w14:textId="77777777" w:rsidR="008F5741" w:rsidRPr="00AD6455" w:rsidRDefault="008F5741" w:rsidP="008F5741">
            <w:pPr>
              <w:jc w:val="center"/>
              <w:rPr>
                <w:i/>
                <w:sz w:val="16"/>
              </w:rPr>
            </w:pPr>
            <w:r w:rsidRPr="00AD6455">
              <w:rPr>
                <w:i/>
                <w:sz w:val="16"/>
              </w:rPr>
              <w:t>General</w:t>
            </w:r>
          </w:p>
        </w:tc>
        <w:tc>
          <w:tcPr>
            <w:tcW w:w="227" w:type="dxa"/>
            <w:tcBorders>
              <w:top w:val="nil"/>
              <w:bottom w:val="nil"/>
            </w:tcBorders>
            <w:vAlign w:val="center"/>
          </w:tcPr>
          <w:p w14:paraId="2DF0E68F" w14:textId="77777777" w:rsidR="008F5741" w:rsidRPr="00AD6455" w:rsidRDefault="008F5741" w:rsidP="008F5741">
            <w:pPr>
              <w:jc w:val="center"/>
              <w:rPr>
                <w:i/>
                <w:sz w:val="16"/>
              </w:rPr>
            </w:pPr>
          </w:p>
        </w:tc>
        <w:tc>
          <w:tcPr>
            <w:tcW w:w="1871" w:type="dxa"/>
            <w:tcBorders>
              <w:bottom w:val="single" w:sz="4" w:space="0" w:color="auto"/>
            </w:tcBorders>
            <w:shd w:val="clear" w:color="auto" w:fill="E2EFD9" w:themeFill="accent6" w:themeFillTint="33"/>
            <w:vAlign w:val="center"/>
          </w:tcPr>
          <w:p w14:paraId="0DC9BC51" w14:textId="527B2AEE" w:rsidR="008F5741" w:rsidRPr="00EE720C" w:rsidRDefault="008F5741" w:rsidP="008F5741">
            <w:pPr>
              <w:jc w:val="center"/>
              <w:rPr>
                <w:i/>
                <w:strike/>
                <w:sz w:val="16"/>
              </w:rPr>
            </w:pPr>
            <w:r w:rsidRPr="00EE720C">
              <w:rPr>
                <w:i/>
                <w:strike/>
                <w:sz w:val="16"/>
              </w:rPr>
              <w:t>Dirección</w:t>
            </w:r>
            <w:r w:rsidR="00EE720C" w:rsidRPr="00EE720C">
              <w:rPr>
                <w:i/>
                <w:sz w:val="16"/>
              </w:rPr>
              <w:t>Gerencia</w:t>
            </w:r>
            <w:r w:rsidRPr="00EE720C">
              <w:rPr>
                <w:i/>
                <w:strike/>
                <w:sz w:val="16"/>
              </w:rPr>
              <w:t xml:space="preserve"> </w:t>
            </w:r>
          </w:p>
          <w:p w14:paraId="0F4A2407" w14:textId="77777777" w:rsidR="008F5741" w:rsidRPr="00AD6455" w:rsidRDefault="008F5741" w:rsidP="008F5741">
            <w:pPr>
              <w:jc w:val="center"/>
              <w:rPr>
                <w:i/>
                <w:sz w:val="16"/>
              </w:rPr>
            </w:pPr>
            <w:r w:rsidRPr="00AD6455">
              <w:rPr>
                <w:i/>
                <w:sz w:val="16"/>
              </w:rPr>
              <w:t>Técnica (*)</w:t>
            </w:r>
          </w:p>
        </w:tc>
        <w:tc>
          <w:tcPr>
            <w:tcW w:w="236" w:type="dxa"/>
            <w:tcBorders>
              <w:top w:val="nil"/>
              <w:bottom w:val="nil"/>
            </w:tcBorders>
            <w:vAlign w:val="center"/>
          </w:tcPr>
          <w:p w14:paraId="2A54E7A7" w14:textId="77777777" w:rsidR="008F5741" w:rsidRPr="00AD6455" w:rsidRDefault="008F5741" w:rsidP="008F5741">
            <w:pPr>
              <w:jc w:val="center"/>
              <w:rPr>
                <w:i/>
                <w:sz w:val="16"/>
              </w:rPr>
            </w:pPr>
          </w:p>
        </w:tc>
        <w:tc>
          <w:tcPr>
            <w:tcW w:w="1862" w:type="dxa"/>
            <w:tcBorders>
              <w:bottom w:val="single" w:sz="4" w:space="0" w:color="auto"/>
            </w:tcBorders>
            <w:shd w:val="clear" w:color="auto" w:fill="E2EFD9" w:themeFill="accent6" w:themeFillTint="33"/>
            <w:vAlign w:val="center"/>
          </w:tcPr>
          <w:p w14:paraId="1647B39C" w14:textId="77777777" w:rsidR="008F5741" w:rsidRPr="00AD6455" w:rsidRDefault="008F5741" w:rsidP="008F5741">
            <w:pPr>
              <w:jc w:val="center"/>
              <w:rPr>
                <w:i/>
                <w:sz w:val="16"/>
              </w:rPr>
            </w:pPr>
            <w:r w:rsidRPr="00AD6455">
              <w:rPr>
                <w:i/>
                <w:sz w:val="16"/>
              </w:rPr>
              <w:t>Dirección</w:t>
            </w:r>
          </w:p>
          <w:p w14:paraId="57C21527" w14:textId="77777777" w:rsidR="008F5741" w:rsidRPr="00AD6455" w:rsidRDefault="008F5741" w:rsidP="008F5741">
            <w:pPr>
              <w:jc w:val="center"/>
              <w:rPr>
                <w:i/>
                <w:sz w:val="16"/>
              </w:rPr>
            </w:pPr>
            <w:r w:rsidRPr="00AD6455">
              <w:rPr>
                <w:i/>
                <w:sz w:val="16"/>
              </w:rPr>
              <w:t xml:space="preserve">Académica </w:t>
            </w:r>
          </w:p>
        </w:tc>
        <w:tc>
          <w:tcPr>
            <w:tcW w:w="236" w:type="dxa"/>
            <w:tcBorders>
              <w:top w:val="nil"/>
              <w:bottom w:val="nil"/>
            </w:tcBorders>
            <w:vAlign w:val="center"/>
          </w:tcPr>
          <w:p w14:paraId="4BB25CD2" w14:textId="77777777" w:rsidR="008F5741" w:rsidRPr="00AD6455" w:rsidRDefault="008F5741" w:rsidP="008F5741">
            <w:pPr>
              <w:jc w:val="center"/>
              <w:rPr>
                <w:i/>
                <w:sz w:val="16"/>
              </w:rPr>
            </w:pPr>
          </w:p>
        </w:tc>
        <w:tc>
          <w:tcPr>
            <w:tcW w:w="1862" w:type="dxa"/>
            <w:tcBorders>
              <w:bottom w:val="single" w:sz="4" w:space="0" w:color="auto"/>
            </w:tcBorders>
            <w:shd w:val="clear" w:color="auto" w:fill="E2EFD9" w:themeFill="accent6" w:themeFillTint="33"/>
            <w:vAlign w:val="center"/>
          </w:tcPr>
          <w:p w14:paraId="149FD476" w14:textId="77777777" w:rsidR="008F5741" w:rsidRPr="00AD6455" w:rsidRDefault="008F5741" w:rsidP="008F5741">
            <w:pPr>
              <w:jc w:val="center"/>
              <w:rPr>
                <w:i/>
                <w:sz w:val="16"/>
              </w:rPr>
            </w:pPr>
            <w:r w:rsidRPr="00AD6455">
              <w:rPr>
                <w:i/>
                <w:sz w:val="16"/>
              </w:rPr>
              <w:t>Estudios y diseños arquitectónicos, urbanísticos y técnicos</w:t>
            </w:r>
          </w:p>
        </w:tc>
      </w:tr>
      <w:tr w:rsidR="008F5741" w14:paraId="4CA8D9BE" w14:textId="77777777" w:rsidTr="008F5741">
        <w:trPr>
          <w:trHeight w:val="165"/>
          <w:jc w:val="center"/>
        </w:trPr>
        <w:tc>
          <w:tcPr>
            <w:tcW w:w="1002" w:type="dxa"/>
            <w:tcBorders>
              <w:top w:val="nil"/>
              <w:left w:val="nil"/>
              <w:right w:val="nil"/>
            </w:tcBorders>
          </w:tcPr>
          <w:p w14:paraId="54357533" w14:textId="77777777" w:rsidR="008F5741" w:rsidRPr="00C051C7" w:rsidRDefault="008F5741" w:rsidP="008F5741">
            <w:pPr>
              <w:jc w:val="center"/>
              <w:rPr>
                <w:sz w:val="12"/>
                <w:u w:val="single"/>
              </w:rPr>
            </w:pPr>
          </w:p>
        </w:tc>
        <w:tc>
          <w:tcPr>
            <w:tcW w:w="227" w:type="dxa"/>
            <w:tcBorders>
              <w:top w:val="nil"/>
              <w:left w:val="nil"/>
              <w:bottom w:val="nil"/>
              <w:right w:val="nil"/>
            </w:tcBorders>
            <w:shd w:val="clear" w:color="auto" w:fill="auto"/>
            <w:vAlign w:val="center"/>
          </w:tcPr>
          <w:p w14:paraId="21DE16AC" w14:textId="77777777" w:rsidR="008F5741" w:rsidRPr="00C051C7" w:rsidRDefault="008F5741" w:rsidP="008F5741">
            <w:pPr>
              <w:jc w:val="center"/>
              <w:rPr>
                <w:sz w:val="12"/>
                <w:u w:val="single"/>
              </w:rPr>
            </w:pPr>
          </w:p>
        </w:tc>
        <w:tc>
          <w:tcPr>
            <w:tcW w:w="1871" w:type="dxa"/>
            <w:tcBorders>
              <w:left w:val="nil"/>
              <w:right w:val="nil"/>
            </w:tcBorders>
            <w:vAlign w:val="center"/>
          </w:tcPr>
          <w:p w14:paraId="60188299" w14:textId="77777777" w:rsidR="008F5741" w:rsidRPr="00C051C7" w:rsidRDefault="008F5741" w:rsidP="008F5741">
            <w:pPr>
              <w:jc w:val="center"/>
              <w:rPr>
                <w:sz w:val="12"/>
                <w:u w:val="single"/>
              </w:rPr>
            </w:pPr>
          </w:p>
        </w:tc>
        <w:tc>
          <w:tcPr>
            <w:tcW w:w="227" w:type="dxa"/>
            <w:tcBorders>
              <w:top w:val="nil"/>
              <w:left w:val="nil"/>
              <w:bottom w:val="nil"/>
              <w:right w:val="nil"/>
            </w:tcBorders>
            <w:vAlign w:val="center"/>
          </w:tcPr>
          <w:p w14:paraId="275717AD" w14:textId="77777777" w:rsidR="008F5741" w:rsidRPr="00C051C7" w:rsidRDefault="008F5741" w:rsidP="008F5741">
            <w:pPr>
              <w:jc w:val="center"/>
              <w:rPr>
                <w:sz w:val="12"/>
              </w:rPr>
            </w:pPr>
          </w:p>
        </w:tc>
        <w:tc>
          <w:tcPr>
            <w:tcW w:w="1871" w:type="dxa"/>
            <w:tcBorders>
              <w:left w:val="nil"/>
              <w:right w:val="nil"/>
            </w:tcBorders>
            <w:vAlign w:val="center"/>
          </w:tcPr>
          <w:p w14:paraId="5334177F" w14:textId="77777777" w:rsidR="008F5741" w:rsidRPr="00C051C7" w:rsidRDefault="008F5741" w:rsidP="008F5741">
            <w:pPr>
              <w:jc w:val="center"/>
              <w:rPr>
                <w:sz w:val="12"/>
                <w:u w:val="single"/>
              </w:rPr>
            </w:pPr>
          </w:p>
        </w:tc>
        <w:tc>
          <w:tcPr>
            <w:tcW w:w="236" w:type="dxa"/>
            <w:tcBorders>
              <w:top w:val="nil"/>
              <w:left w:val="nil"/>
              <w:bottom w:val="nil"/>
              <w:right w:val="nil"/>
            </w:tcBorders>
            <w:vAlign w:val="center"/>
          </w:tcPr>
          <w:p w14:paraId="10764033" w14:textId="77777777" w:rsidR="008F5741" w:rsidRPr="00C051C7" w:rsidRDefault="008F5741" w:rsidP="008F5741">
            <w:pPr>
              <w:jc w:val="center"/>
              <w:rPr>
                <w:sz w:val="12"/>
              </w:rPr>
            </w:pPr>
          </w:p>
        </w:tc>
        <w:tc>
          <w:tcPr>
            <w:tcW w:w="1862" w:type="dxa"/>
            <w:tcBorders>
              <w:left w:val="nil"/>
              <w:right w:val="nil"/>
            </w:tcBorders>
            <w:shd w:val="clear" w:color="auto" w:fill="auto"/>
            <w:vAlign w:val="center"/>
          </w:tcPr>
          <w:p w14:paraId="2389AEEF" w14:textId="77777777" w:rsidR="008F5741" w:rsidRPr="00C051C7" w:rsidRDefault="008F5741" w:rsidP="008F5741">
            <w:pPr>
              <w:jc w:val="center"/>
              <w:rPr>
                <w:sz w:val="12"/>
                <w:u w:val="single"/>
              </w:rPr>
            </w:pPr>
          </w:p>
        </w:tc>
        <w:tc>
          <w:tcPr>
            <w:tcW w:w="236" w:type="dxa"/>
            <w:tcBorders>
              <w:top w:val="nil"/>
              <w:left w:val="nil"/>
              <w:bottom w:val="nil"/>
              <w:right w:val="nil"/>
            </w:tcBorders>
            <w:vAlign w:val="center"/>
          </w:tcPr>
          <w:p w14:paraId="7408C875" w14:textId="77777777" w:rsidR="008F5741" w:rsidRPr="00C051C7" w:rsidRDefault="008F5741" w:rsidP="008F5741">
            <w:pPr>
              <w:jc w:val="center"/>
              <w:rPr>
                <w:sz w:val="12"/>
              </w:rPr>
            </w:pPr>
          </w:p>
        </w:tc>
        <w:tc>
          <w:tcPr>
            <w:tcW w:w="1862" w:type="dxa"/>
            <w:tcBorders>
              <w:left w:val="nil"/>
              <w:right w:val="nil"/>
            </w:tcBorders>
            <w:vAlign w:val="center"/>
          </w:tcPr>
          <w:p w14:paraId="0FFF3535" w14:textId="77777777" w:rsidR="008F5741" w:rsidRPr="00C051C7" w:rsidRDefault="008F5741" w:rsidP="008F5741">
            <w:pPr>
              <w:jc w:val="center"/>
              <w:rPr>
                <w:sz w:val="12"/>
                <w:u w:val="single"/>
              </w:rPr>
            </w:pPr>
          </w:p>
        </w:tc>
      </w:tr>
      <w:tr w:rsidR="008F5741" w14:paraId="33EA64B4" w14:textId="77777777" w:rsidTr="008F5741">
        <w:trPr>
          <w:trHeight w:val="509"/>
          <w:jc w:val="center"/>
        </w:trPr>
        <w:tc>
          <w:tcPr>
            <w:tcW w:w="1002" w:type="dxa"/>
            <w:vAlign w:val="center"/>
          </w:tcPr>
          <w:p w14:paraId="04B61D4D" w14:textId="77777777" w:rsidR="008F5741" w:rsidRPr="00831E8F" w:rsidRDefault="008F5741" w:rsidP="008F5741">
            <w:pPr>
              <w:rPr>
                <w:sz w:val="14"/>
                <w:szCs w:val="18"/>
              </w:rPr>
            </w:pPr>
            <w:r>
              <w:rPr>
                <w:sz w:val="14"/>
                <w:szCs w:val="18"/>
              </w:rPr>
              <w:t>Contratista</w:t>
            </w:r>
          </w:p>
        </w:tc>
        <w:tc>
          <w:tcPr>
            <w:tcW w:w="227" w:type="dxa"/>
            <w:tcBorders>
              <w:top w:val="nil"/>
              <w:bottom w:val="nil"/>
            </w:tcBorders>
            <w:shd w:val="clear" w:color="auto" w:fill="auto"/>
            <w:vAlign w:val="center"/>
          </w:tcPr>
          <w:p w14:paraId="598ECD31" w14:textId="77777777" w:rsidR="008F5741" w:rsidRPr="00831E8F" w:rsidRDefault="008F5741" w:rsidP="008F5741">
            <w:pPr>
              <w:jc w:val="center"/>
              <w:rPr>
                <w:sz w:val="16"/>
              </w:rPr>
            </w:pPr>
          </w:p>
        </w:tc>
        <w:tc>
          <w:tcPr>
            <w:tcW w:w="1871" w:type="dxa"/>
            <w:vAlign w:val="center"/>
          </w:tcPr>
          <w:p w14:paraId="5662AFCF" w14:textId="77777777" w:rsidR="008F5741" w:rsidRPr="00831E8F" w:rsidRDefault="008F5741" w:rsidP="008F5741">
            <w:pPr>
              <w:jc w:val="center"/>
              <w:rPr>
                <w:sz w:val="16"/>
              </w:rPr>
            </w:pPr>
            <w:r w:rsidRPr="00831E8F">
              <w:rPr>
                <w:sz w:val="16"/>
              </w:rPr>
              <w:t>Ángela María Arango Rave</w:t>
            </w:r>
          </w:p>
        </w:tc>
        <w:tc>
          <w:tcPr>
            <w:tcW w:w="227" w:type="dxa"/>
            <w:tcBorders>
              <w:top w:val="nil"/>
              <w:bottom w:val="nil"/>
            </w:tcBorders>
            <w:vAlign w:val="center"/>
          </w:tcPr>
          <w:p w14:paraId="22FF7E54" w14:textId="77777777" w:rsidR="008F5741" w:rsidRPr="00831E8F" w:rsidRDefault="008F5741" w:rsidP="008F5741">
            <w:pPr>
              <w:jc w:val="center"/>
              <w:rPr>
                <w:sz w:val="16"/>
              </w:rPr>
            </w:pPr>
          </w:p>
        </w:tc>
        <w:tc>
          <w:tcPr>
            <w:tcW w:w="1871" w:type="dxa"/>
            <w:vAlign w:val="center"/>
          </w:tcPr>
          <w:p w14:paraId="3E9E2618" w14:textId="77777777" w:rsidR="008F5741" w:rsidRPr="00831E8F" w:rsidRDefault="008F5741" w:rsidP="008F5741">
            <w:pPr>
              <w:jc w:val="center"/>
              <w:rPr>
                <w:sz w:val="16"/>
              </w:rPr>
            </w:pPr>
            <w:r w:rsidRPr="00831E8F">
              <w:rPr>
                <w:sz w:val="16"/>
              </w:rPr>
              <w:t>Gloria Elena Molina Vélez</w:t>
            </w:r>
          </w:p>
        </w:tc>
        <w:tc>
          <w:tcPr>
            <w:tcW w:w="236" w:type="dxa"/>
            <w:tcBorders>
              <w:top w:val="nil"/>
              <w:bottom w:val="nil"/>
            </w:tcBorders>
            <w:vAlign w:val="center"/>
          </w:tcPr>
          <w:p w14:paraId="54284ECB" w14:textId="77777777" w:rsidR="008F5741" w:rsidRPr="00831E8F" w:rsidRDefault="008F5741" w:rsidP="008F5741">
            <w:pPr>
              <w:jc w:val="center"/>
              <w:rPr>
                <w:sz w:val="16"/>
              </w:rPr>
            </w:pPr>
          </w:p>
        </w:tc>
        <w:tc>
          <w:tcPr>
            <w:tcW w:w="1862" w:type="dxa"/>
            <w:shd w:val="clear" w:color="auto" w:fill="auto"/>
            <w:vAlign w:val="center"/>
          </w:tcPr>
          <w:p w14:paraId="2963A70D" w14:textId="77777777" w:rsidR="008F5741" w:rsidRPr="00831E8F" w:rsidRDefault="008F5741" w:rsidP="008F5741">
            <w:pPr>
              <w:jc w:val="center"/>
              <w:rPr>
                <w:sz w:val="16"/>
              </w:rPr>
            </w:pPr>
            <w:r w:rsidRPr="00831E8F">
              <w:rPr>
                <w:sz w:val="16"/>
              </w:rPr>
              <w:t>Cruzana Echeverry Restrepo</w:t>
            </w:r>
          </w:p>
        </w:tc>
        <w:tc>
          <w:tcPr>
            <w:tcW w:w="236" w:type="dxa"/>
            <w:tcBorders>
              <w:top w:val="nil"/>
              <w:bottom w:val="nil"/>
            </w:tcBorders>
            <w:vAlign w:val="center"/>
          </w:tcPr>
          <w:p w14:paraId="6F0C6760" w14:textId="77777777" w:rsidR="008F5741" w:rsidRPr="00831E8F" w:rsidRDefault="008F5741" w:rsidP="008F5741">
            <w:pPr>
              <w:jc w:val="center"/>
              <w:rPr>
                <w:sz w:val="16"/>
              </w:rPr>
            </w:pPr>
          </w:p>
        </w:tc>
        <w:tc>
          <w:tcPr>
            <w:tcW w:w="1862" w:type="dxa"/>
            <w:vAlign w:val="center"/>
          </w:tcPr>
          <w:p w14:paraId="49E6BCEB" w14:textId="77777777" w:rsidR="008F5741" w:rsidRPr="008B6C94" w:rsidRDefault="008F5741" w:rsidP="008F5741">
            <w:pPr>
              <w:jc w:val="center"/>
              <w:rPr>
                <w:sz w:val="18"/>
              </w:rPr>
            </w:pPr>
            <w:r w:rsidRPr="008B6C94">
              <w:rPr>
                <w:sz w:val="18"/>
              </w:rPr>
              <w:t>CIS</w:t>
            </w:r>
          </w:p>
        </w:tc>
      </w:tr>
      <w:tr w:rsidR="008F5741" w14:paraId="7747FB60" w14:textId="77777777" w:rsidTr="008F5741">
        <w:trPr>
          <w:trHeight w:val="700"/>
          <w:jc w:val="center"/>
        </w:trPr>
        <w:tc>
          <w:tcPr>
            <w:tcW w:w="1002" w:type="dxa"/>
            <w:vAlign w:val="center"/>
          </w:tcPr>
          <w:p w14:paraId="4226255B" w14:textId="77777777" w:rsidR="008F5741" w:rsidRPr="00831E8F" w:rsidRDefault="008F5741" w:rsidP="008F5741">
            <w:pPr>
              <w:rPr>
                <w:sz w:val="14"/>
                <w:szCs w:val="18"/>
              </w:rPr>
            </w:pPr>
            <w:r w:rsidRPr="00831E8F">
              <w:rPr>
                <w:sz w:val="14"/>
                <w:szCs w:val="18"/>
              </w:rPr>
              <w:t>Tipo de contrato:</w:t>
            </w:r>
          </w:p>
        </w:tc>
        <w:tc>
          <w:tcPr>
            <w:tcW w:w="227" w:type="dxa"/>
            <w:tcBorders>
              <w:top w:val="nil"/>
              <w:bottom w:val="nil"/>
            </w:tcBorders>
            <w:shd w:val="clear" w:color="auto" w:fill="auto"/>
          </w:tcPr>
          <w:p w14:paraId="4C73F757" w14:textId="77777777" w:rsidR="008F5741" w:rsidRPr="00831E8F" w:rsidRDefault="008F5741" w:rsidP="008F5741">
            <w:pPr>
              <w:rPr>
                <w:sz w:val="14"/>
                <w:szCs w:val="18"/>
              </w:rPr>
            </w:pPr>
          </w:p>
        </w:tc>
        <w:tc>
          <w:tcPr>
            <w:tcW w:w="1871" w:type="dxa"/>
            <w:vAlign w:val="center"/>
          </w:tcPr>
          <w:p w14:paraId="17E491EF" w14:textId="77777777" w:rsidR="008F5741" w:rsidRPr="00A0631A" w:rsidRDefault="008F5741" w:rsidP="008F5741">
            <w:pPr>
              <w:rPr>
                <w:sz w:val="16"/>
              </w:rPr>
            </w:pPr>
            <w:r w:rsidRPr="00A0631A">
              <w:rPr>
                <w:sz w:val="16"/>
                <w:szCs w:val="18"/>
              </w:rPr>
              <w:t>Contrato de consultoría</w:t>
            </w:r>
          </w:p>
        </w:tc>
        <w:tc>
          <w:tcPr>
            <w:tcW w:w="227" w:type="dxa"/>
            <w:tcBorders>
              <w:top w:val="nil"/>
              <w:bottom w:val="nil"/>
            </w:tcBorders>
            <w:vAlign w:val="center"/>
          </w:tcPr>
          <w:p w14:paraId="36BF42AF" w14:textId="77777777" w:rsidR="008F5741" w:rsidRPr="00A0631A" w:rsidRDefault="008F5741" w:rsidP="008F5741">
            <w:pPr>
              <w:rPr>
                <w:sz w:val="18"/>
              </w:rPr>
            </w:pPr>
          </w:p>
        </w:tc>
        <w:tc>
          <w:tcPr>
            <w:tcW w:w="1871" w:type="dxa"/>
            <w:vAlign w:val="center"/>
          </w:tcPr>
          <w:p w14:paraId="626E0AA4" w14:textId="77777777" w:rsidR="008F5741" w:rsidRPr="00A0631A" w:rsidRDefault="008F5741" w:rsidP="008F5741">
            <w:pPr>
              <w:rPr>
                <w:sz w:val="16"/>
                <w:szCs w:val="16"/>
              </w:rPr>
            </w:pPr>
            <w:r w:rsidRPr="00A0631A">
              <w:rPr>
                <w:sz w:val="16"/>
                <w:szCs w:val="16"/>
              </w:rPr>
              <w:t>Servicios de consultoría técnica</w:t>
            </w:r>
          </w:p>
        </w:tc>
        <w:tc>
          <w:tcPr>
            <w:tcW w:w="236" w:type="dxa"/>
            <w:tcBorders>
              <w:top w:val="nil"/>
              <w:bottom w:val="nil"/>
            </w:tcBorders>
            <w:vAlign w:val="center"/>
          </w:tcPr>
          <w:p w14:paraId="329B11F7" w14:textId="77777777" w:rsidR="008F5741" w:rsidRPr="00A0631A" w:rsidRDefault="008F5741" w:rsidP="008F5741">
            <w:pPr>
              <w:rPr>
                <w:sz w:val="18"/>
              </w:rPr>
            </w:pPr>
          </w:p>
        </w:tc>
        <w:tc>
          <w:tcPr>
            <w:tcW w:w="1862" w:type="dxa"/>
            <w:shd w:val="clear" w:color="auto" w:fill="auto"/>
            <w:vAlign w:val="center"/>
          </w:tcPr>
          <w:p w14:paraId="020D0926" w14:textId="77777777" w:rsidR="008F5741" w:rsidRPr="00A0631A" w:rsidRDefault="008F5741" w:rsidP="00AD6455">
            <w:pPr>
              <w:rPr>
                <w:sz w:val="16"/>
                <w:szCs w:val="16"/>
              </w:rPr>
            </w:pPr>
            <w:r w:rsidRPr="00A0631A">
              <w:rPr>
                <w:sz w:val="16"/>
                <w:szCs w:val="16"/>
              </w:rPr>
              <w:t>Profesor Ocasional</w:t>
            </w:r>
          </w:p>
          <w:p w14:paraId="2093C797" w14:textId="77777777" w:rsidR="008F5741" w:rsidRPr="00A0631A" w:rsidRDefault="008F5741" w:rsidP="00AD6455">
            <w:pPr>
              <w:rPr>
                <w:b/>
                <w:sz w:val="22"/>
              </w:rPr>
            </w:pPr>
            <w:r w:rsidRPr="00A0631A">
              <w:rPr>
                <w:sz w:val="16"/>
                <w:szCs w:val="16"/>
              </w:rPr>
              <w:t>(88% plan de trabajo 2018-1 son para la Dirección Académica del complejo de la salud).</w:t>
            </w:r>
          </w:p>
        </w:tc>
        <w:tc>
          <w:tcPr>
            <w:tcW w:w="236" w:type="dxa"/>
            <w:tcBorders>
              <w:top w:val="nil"/>
              <w:bottom w:val="nil"/>
            </w:tcBorders>
            <w:vAlign w:val="center"/>
          </w:tcPr>
          <w:p w14:paraId="605CA39A" w14:textId="77777777" w:rsidR="008F5741" w:rsidRPr="00A0631A" w:rsidRDefault="008F5741" w:rsidP="008F5741">
            <w:pPr>
              <w:rPr>
                <w:sz w:val="18"/>
              </w:rPr>
            </w:pPr>
          </w:p>
        </w:tc>
        <w:tc>
          <w:tcPr>
            <w:tcW w:w="1862" w:type="dxa"/>
            <w:vAlign w:val="center"/>
          </w:tcPr>
          <w:p w14:paraId="5CFD2A2D" w14:textId="77777777" w:rsidR="008F5741" w:rsidRPr="00A0631A" w:rsidRDefault="008F5741" w:rsidP="008F5741">
            <w:pPr>
              <w:rPr>
                <w:sz w:val="16"/>
                <w:szCs w:val="16"/>
              </w:rPr>
            </w:pPr>
            <w:r w:rsidRPr="00A0631A">
              <w:rPr>
                <w:sz w:val="16"/>
                <w:szCs w:val="16"/>
              </w:rPr>
              <w:t>Mandato con representación</w:t>
            </w:r>
          </w:p>
        </w:tc>
      </w:tr>
      <w:tr w:rsidR="008F5741" w14:paraId="47EF440B" w14:textId="77777777" w:rsidTr="008F5741">
        <w:trPr>
          <w:trHeight w:val="283"/>
          <w:jc w:val="center"/>
        </w:trPr>
        <w:tc>
          <w:tcPr>
            <w:tcW w:w="1002" w:type="dxa"/>
            <w:vAlign w:val="center"/>
          </w:tcPr>
          <w:p w14:paraId="1F839BD2" w14:textId="77777777" w:rsidR="008F5741" w:rsidRPr="00831E8F" w:rsidRDefault="008F5741" w:rsidP="008F5741">
            <w:pPr>
              <w:rPr>
                <w:sz w:val="14"/>
                <w:szCs w:val="18"/>
              </w:rPr>
            </w:pPr>
            <w:r w:rsidRPr="00831E8F">
              <w:rPr>
                <w:sz w:val="14"/>
                <w:szCs w:val="18"/>
              </w:rPr>
              <w:t>Valor:</w:t>
            </w:r>
          </w:p>
        </w:tc>
        <w:tc>
          <w:tcPr>
            <w:tcW w:w="227" w:type="dxa"/>
            <w:tcBorders>
              <w:top w:val="nil"/>
              <w:bottom w:val="nil"/>
            </w:tcBorders>
            <w:shd w:val="clear" w:color="auto" w:fill="auto"/>
          </w:tcPr>
          <w:p w14:paraId="16FD8A34" w14:textId="77777777" w:rsidR="008F5741" w:rsidRPr="00831E8F" w:rsidRDefault="008F5741" w:rsidP="008F5741">
            <w:pPr>
              <w:rPr>
                <w:sz w:val="14"/>
                <w:szCs w:val="18"/>
              </w:rPr>
            </w:pPr>
          </w:p>
        </w:tc>
        <w:tc>
          <w:tcPr>
            <w:tcW w:w="1871" w:type="dxa"/>
            <w:vAlign w:val="center"/>
          </w:tcPr>
          <w:p w14:paraId="17ABA83D" w14:textId="77777777" w:rsidR="008F5741" w:rsidRPr="00A0631A" w:rsidRDefault="008F5741" w:rsidP="008F5741">
            <w:pPr>
              <w:rPr>
                <w:sz w:val="16"/>
              </w:rPr>
            </w:pPr>
            <w:r w:rsidRPr="00A0631A">
              <w:rPr>
                <w:sz w:val="16"/>
                <w:szCs w:val="18"/>
              </w:rPr>
              <w:t>$157.080.000</w:t>
            </w:r>
          </w:p>
        </w:tc>
        <w:tc>
          <w:tcPr>
            <w:tcW w:w="227" w:type="dxa"/>
            <w:tcBorders>
              <w:top w:val="nil"/>
              <w:bottom w:val="nil"/>
            </w:tcBorders>
            <w:vAlign w:val="center"/>
          </w:tcPr>
          <w:p w14:paraId="2F61DA3E" w14:textId="77777777" w:rsidR="008F5741" w:rsidRPr="00A0631A" w:rsidRDefault="008F5741" w:rsidP="008F5741">
            <w:pPr>
              <w:rPr>
                <w:sz w:val="18"/>
              </w:rPr>
            </w:pPr>
          </w:p>
        </w:tc>
        <w:tc>
          <w:tcPr>
            <w:tcW w:w="1871" w:type="dxa"/>
            <w:vAlign w:val="center"/>
          </w:tcPr>
          <w:p w14:paraId="57FE4B32" w14:textId="77777777" w:rsidR="008F5741" w:rsidRPr="00A0631A" w:rsidRDefault="008F5741" w:rsidP="008F5741">
            <w:pPr>
              <w:rPr>
                <w:sz w:val="16"/>
                <w:szCs w:val="16"/>
              </w:rPr>
            </w:pPr>
            <w:r w:rsidRPr="00A0631A">
              <w:rPr>
                <w:sz w:val="16"/>
                <w:szCs w:val="16"/>
              </w:rPr>
              <w:t>$281.880.000</w:t>
            </w:r>
          </w:p>
        </w:tc>
        <w:tc>
          <w:tcPr>
            <w:tcW w:w="236" w:type="dxa"/>
            <w:tcBorders>
              <w:top w:val="nil"/>
              <w:bottom w:val="nil"/>
            </w:tcBorders>
            <w:vAlign w:val="center"/>
          </w:tcPr>
          <w:p w14:paraId="5197B2BA" w14:textId="77777777" w:rsidR="008F5741" w:rsidRPr="00A0631A" w:rsidRDefault="008F5741" w:rsidP="008F5741">
            <w:pPr>
              <w:rPr>
                <w:sz w:val="18"/>
              </w:rPr>
            </w:pPr>
          </w:p>
        </w:tc>
        <w:tc>
          <w:tcPr>
            <w:tcW w:w="1862" w:type="dxa"/>
            <w:shd w:val="clear" w:color="auto" w:fill="auto"/>
            <w:vAlign w:val="center"/>
          </w:tcPr>
          <w:p w14:paraId="43B0632F" w14:textId="77777777" w:rsidR="008F5741" w:rsidRPr="00A0631A" w:rsidRDefault="008F5741" w:rsidP="008F5741">
            <w:pPr>
              <w:rPr>
                <w:sz w:val="16"/>
                <w:szCs w:val="16"/>
              </w:rPr>
            </w:pPr>
            <w:r w:rsidRPr="00A0631A">
              <w:rPr>
                <w:sz w:val="16"/>
                <w:szCs w:val="16"/>
              </w:rPr>
              <w:t>$6.207.487</w:t>
            </w:r>
          </w:p>
        </w:tc>
        <w:tc>
          <w:tcPr>
            <w:tcW w:w="236" w:type="dxa"/>
            <w:tcBorders>
              <w:top w:val="nil"/>
              <w:bottom w:val="nil"/>
            </w:tcBorders>
            <w:vAlign w:val="center"/>
          </w:tcPr>
          <w:p w14:paraId="60D9E534" w14:textId="77777777" w:rsidR="008F5741" w:rsidRPr="00A0631A" w:rsidRDefault="008F5741" w:rsidP="008F5741">
            <w:pPr>
              <w:rPr>
                <w:sz w:val="18"/>
              </w:rPr>
            </w:pPr>
          </w:p>
        </w:tc>
        <w:tc>
          <w:tcPr>
            <w:tcW w:w="1862" w:type="dxa"/>
            <w:vAlign w:val="center"/>
          </w:tcPr>
          <w:p w14:paraId="223AE1A5" w14:textId="77777777" w:rsidR="008F5741" w:rsidRPr="00A0631A" w:rsidRDefault="008F5741" w:rsidP="008F5741">
            <w:pPr>
              <w:rPr>
                <w:sz w:val="16"/>
                <w:szCs w:val="16"/>
              </w:rPr>
            </w:pPr>
            <w:r w:rsidRPr="00A0631A">
              <w:rPr>
                <w:sz w:val="16"/>
                <w:szCs w:val="16"/>
              </w:rPr>
              <w:t>$6.528.233.880</w:t>
            </w:r>
          </w:p>
        </w:tc>
      </w:tr>
      <w:tr w:rsidR="008F5741" w14:paraId="3350C469" w14:textId="77777777" w:rsidTr="008F5741">
        <w:trPr>
          <w:trHeight w:val="283"/>
          <w:jc w:val="center"/>
        </w:trPr>
        <w:tc>
          <w:tcPr>
            <w:tcW w:w="1002" w:type="dxa"/>
            <w:vAlign w:val="center"/>
          </w:tcPr>
          <w:p w14:paraId="41123050" w14:textId="77777777" w:rsidR="008F5741" w:rsidRPr="00831E8F" w:rsidRDefault="008F5741" w:rsidP="008F5741">
            <w:pPr>
              <w:rPr>
                <w:sz w:val="14"/>
                <w:szCs w:val="18"/>
              </w:rPr>
            </w:pPr>
            <w:r w:rsidRPr="00831E8F">
              <w:rPr>
                <w:sz w:val="14"/>
                <w:szCs w:val="18"/>
              </w:rPr>
              <w:t>Fecha inicio:</w:t>
            </w:r>
          </w:p>
        </w:tc>
        <w:tc>
          <w:tcPr>
            <w:tcW w:w="227" w:type="dxa"/>
            <w:tcBorders>
              <w:top w:val="nil"/>
              <w:bottom w:val="nil"/>
            </w:tcBorders>
            <w:shd w:val="clear" w:color="auto" w:fill="auto"/>
          </w:tcPr>
          <w:p w14:paraId="71D4507D" w14:textId="77777777" w:rsidR="008F5741" w:rsidRPr="00831E8F" w:rsidRDefault="008F5741" w:rsidP="008F5741">
            <w:pPr>
              <w:rPr>
                <w:sz w:val="14"/>
                <w:szCs w:val="18"/>
              </w:rPr>
            </w:pPr>
          </w:p>
        </w:tc>
        <w:tc>
          <w:tcPr>
            <w:tcW w:w="1871" w:type="dxa"/>
            <w:vAlign w:val="center"/>
          </w:tcPr>
          <w:p w14:paraId="7920CD08" w14:textId="77777777" w:rsidR="008F5741" w:rsidRPr="00A0631A" w:rsidRDefault="008F5741" w:rsidP="008F5741">
            <w:pPr>
              <w:rPr>
                <w:sz w:val="16"/>
                <w:szCs w:val="18"/>
              </w:rPr>
            </w:pPr>
            <w:r w:rsidRPr="00A0631A">
              <w:rPr>
                <w:sz w:val="16"/>
                <w:szCs w:val="18"/>
              </w:rPr>
              <w:t>18/08/2017</w:t>
            </w:r>
          </w:p>
        </w:tc>
        <w:tc>
          <w:tcPr>
            <w:tcW w:w="227" w:type="dxa"/>
            <w:tcBorders>
              <w:top w:val="nil"/>
              <w:bottom w:val="nil"/>
            </w:tcBorders>
            <w:vAlign w:val="center"/>
          </w:tcPr>
          <w:p w14:paraId="7A66B565" w14:textId="77777777" w:rsidR="008F5741" w:rsidRPr="00A0631A" w:rsidRDefault="008F5741" w:rsidP="008F5741">
            <w:pPr>
              <w:rPr>
                <w:sz w:val="18"/>
              </w:rPr>
            </w:pPr>
          </w:p>
        </w:tc>
        <w:tc>
          <w:tcPr>
            <w:tcW w:w="1871" w:type="dxa"/>
            <w:vAlign w:val="center"/>
          </w:tcPr>
          <w:p w14:paraId="5149EFE2" w14:textId="77777777" w:rsidR="008F5741" w:rsidRPr="00A0631A" w:rsidRDefault="008F5741" w:rsidP="008F5741">
            <w:pPr>
              <w:rPr>
                <w:sz w:val="16"/>
                <w:szCs w:val="16"/>
              </w:rPr>
            </w:pPr>
            <w:r w:rsidRPr="00A0631A">
              <w:rPr>
                <w:sz w:val="16"/>
                <w:szCs w:val="16"/>
              </w:rPr>
              <w:t>18/1/2017</w:t>
            </w:r>
          </w:p>
        </w:tc>
        <w:tc>
          <w:tcPr>
            <w:tcW w:w="236" w:type="dxa"/>
            <w:tcBorders>
              <w:top w:val="nil"/>
              <w:bottom w:val="nil"/>
            </w:tcBorders>
            <w:vAlign w:val="center"/>
          </w:tcPr>
          <w:p w14:paraId="1C848540" w14:textId="77777777" w:rsidR="008F5741" w:rsidRPr="00A0631A" w:rsidRDefault="008F5741" w:rsidP="008F5741">
            <w:pPr>
              <w:rPr>
                <w:sz w:val="18"/>
              </w:rPr>
            </w:pPr>
          </w:p>
        </w:tc>
        <w:tc>
          <w:tcPr>
            <w:tcW w:w="1862" w:type="dxa"/>
            <w:shd w:val="clear" w:color="auto" w:fill="auto"/>
            <w:vAlign w:val="center"/>
          </w:tcPr>
          <w:p w14:paraId="22F89B0E" w14:textId="77777777" w:rsidR="008F5741" w:rsidRPr="00A0631A" w:rsidRDefault="008F5741" w:rsidP="008F5741">
            <w:pPr>
              <w:rPr>
                <w:sz w:val="16"/>
                <w:szCs w:val="16"/>
              </w:rPr>
            </w:pPr>
            <w:r w:rsidRPr="00A0631A">
              <w:rPr>
                <w:sz w:val="16"/>
                <w:szCs w:val="16"/>
              </w:rPr>
              <w:t>15/03/2018</w:t>
            </w:r>
          </w:p>
        </w:tc>
        <w:tc>
          <w:tcPr>
            <w:tcW w:w="236" w:type="dxa"/>
            <w:tcBorders>
              <w:top w:val="nil"/>
              <w:bottom w:val="nil"/>
            </w:tcBorders>
            <w:vAlign w:val="center"/>
          </w:tcPr>
          <w:p w14:paraId="36612168" w14:textId="77777777" w:rsidR="008F5741" w:rsidRPr="00A0631A" w:rsidRDefault="008F5741" w:rsidP="008F5741">
            <w:pPr>
              <w:rPr>
                <w:sz w:val="18"/>
              </w:rPr>
            </w:pPr>
          </w:p>
        </w:tc>
        <w:tc>
          <w:tcPr>
            <w:tcW w:w="1862" w:type="dxa"/>
            <w:vAlign w:val="center"/>
          </w:tcPr>
          <w:p w14:paraId="474B6AE6" w14:textId="77777777" w:rsidR="008F5741" w:rsidRPr="00A0631A" w:rsidRDefault="008F5741" w:rsidP="008F5741">
            <w:pPr>
              <w:rPr>
                <w:sz w:val="16"/>
                <w:szCs w:val="16"/>
              </w:rPr>
            </w:pPr>
            <w:r w:rsidRPr="00A0631A">
              <w:rPr>
                <w:sz w:val="16"/>
                <w:szCs w:val="16"/>
              </w:rPr>
              <w:t>25/08/2017</w:t>
            </w:r>
          </w:p>
        </w:tc>
      </w:tr>
      <w:tr w:rsidR="008F5741" w14:paraId="4C4DCC45" w14:textId="77777777" w:rsidTr="008F5741">
        <w:trPr>
          <w:trHeight w:val="283"/>
          <w:jc w:val="center"/>
        </w:trPr>
        <w:tc>
          <w:tcPr>
            <w:tcW w:w="1002" w:type="dxa"/>
            <w:vAlign w:val="center"/>
          </w:tcPr>
          <w:p w14:paraId="3C8BB53B" w14:textId="77777777" w:rsidR="008F5741" w:rsidRPr="00831E8F" w:rsidRDefault="008F5741" w:rsidP="008F5741">
            <w:pPr>
              <w:rPr>
                <w:sz w:val="14"/>
                <w:szCs w:val="18"/>
              </w:rPr>
            </w:pPr>
            <w:r w:rsidRPr="00831E8F">
              <w:rPr>
                <w:sz w:val="14"/>
                <w:szCs w:val="18"/>
              </w:rPr>
              <w:t xml:space="preserve">Suspensión: </w:t>
            </w:r>
          </w:p>
        </w:tc>
        <w:tc>
          <w:tcPr>
            <w:tcW w:w="227" w:type="dxa"/>
            <w:tcBorders>
              <w:top w:val="nil"/>
              <w:bottom w:val="nil"/>
            </w:tcBorders>
            <w:shd w:val="clear" w:color="auto" w:fill="auto"/>
          </w:tcPr>
          <w:p w14:paraId="56B45E0A" w14:textId="77777777" w:rsidR="008F5741" w:rsidRPr="00831E8F" w:rsidRDefault="008F5741" w:rsidP="008F5741">
            <w:pPr>
              <w:rPr>
                <w:sz w:val="14"/>
                <w:szCs w:val="18"/>
              </w:rPr>
            </w:pPr>
          </w:p>
        </w:tc>
        <w:tc>
          <w:tcPr>
            <w:tcW w:w="1871" w:type="dxa"/>
            <w:vAlign w:val="center"/>
          </w:tcPr>
          <w:p w14:paraId="60889C05" w14:textId="77777777" w:rsidR="008F5741" w:rsidRPr="00A0631A" w:rsidRDefault="008F5741" w:rsidP="008F5741">
            <w:pPr>
              <w:rPr>
                <w:sz w:val="16"/>
                <w:szCs w:val="18"/>
              </w:rPr>
            </w:pPr>
            <w:r w:rsidRPr="00A0631A">
              <w:rPr>
                <w:sz w:val="16"/>
                <w:szCs w:val="18"/>
              </w:rPr>
              <w:t>23 días 3/09/2017</w:t>
            </w:r>
          </w:p>
        </w:tc>
        <w:tc>
          <w:tcPr>
            <w:tcW w:w="227" w:type="dxa"/>
            <w:tcBorders>
              <w:top w:val="nil"/>
              <w:bottom w:val="nil"/>
            </w:tcBorders>
            <w:vAlign w:val="center"/>
          </w:tcPr>
          <w:p w14:paraId="73D6455A" w14:textId="77777777" w:rsidR="008F5741" w:rsidRPr="00A0631A" w:rsidRDefault="008F5741" w:rsidP="008F5741">
            <w:pPr>
              <w:rPr>
                <w:sz w:val="18"/>
              </w:rPr>
            </w:pPr>
          </w:p>
        </w:tc>
        <w:tc>
          <w:tcPr>
            <w:tcW w:w="1871" w:type="dxa"/>
            <w:shd w:val="clear" w:color="auto" w:fill="auto"/>
            <w:vAlign w:val="center"/>
          </w:tcPr>
          <w:p w14:paraId="7E2F9038" w14:textId="77777777" w:rsidR="008F5741" w:rsidRPr="00A0631A" w:rsidRDefault="008F5741" w:rsidP="008F5741">
            <w:pPr>
              <w:rPr>
                <w:sz w:val="16"/>
                <w:szCs w:val="16"/>
              </w:rPr>
            </w:pPr>
            <w:r w:rsidRPr="00A0631A">
              <w:rPr>
                <w:sz w:val="16"/>
                <w:szCs w:val="16"/>
              </w:rPr>
              <w:t>N/A</w:t>
            </w:r>
          </w:p>
        </w:tc>
        <w:tc>
          <w:tcPr>
            <w:tcW w:w="236" w:type="dxa"/>
            <w:tcBorders>
              <w:top w:val="nil"/>
              <w:bottom w:val="nil"/>
            </w:tcBorders>
            <w:vAlign w:val="center"/>
          </w:tcPr>
          <w:p w14:paraId="01BC9E5F" w14:textId="77777777" w:rsidR="008F5741" w:rsidRPr="00A0631A" w:rsidRDefault="008F5741" w:rsidP="008F5741">
            <w:pPr>
              <w:rPr>
                <w:sz w:val="18"/>
              </w:rPr>
            </w:pPr>
          </w:p>
        </w:tc>
        <w:tc>
          <w:tcPr>
            <w:tcW w:w="1862" w:type="dxa"/>
            <w:shd w:val="clear" w:color="auto" w:fill="auto"/>
            <w:vAlign w:val="center"/>
          </w:tcPr>
          <w:p w14:paraId="3C1456E3" w14:textId="77777777" w:rsidR="008F5741" w:rsidRPr="00A0631A" w:rsidRDefault="008F5741" w:rsidP="008F5741">
            <w:pPr>
              <w:rPr>
                <w:sz w:val="16"/>
                <w:szCs w:val="16"/>
              </w:rPr>
            </w:pPr>
            <w:r w:rsidRPr="00A0631A">
              <w:rPr>
                <w:sz w:val="16"/>
                <w:szCs w:val="16"/>
              </w:rPr>
              <w:t>N/A</w:t>
            </w:r>
          </w:p>
        </w:tc>
        <w:tc>
          <w:tcPr>
            <w:tcW w:w="236" w:type="dxa"/>
            <w:tcBorders>
              <w:top w:val="nil"/>
              <w:bottom w:val="nil"/>
            </w:tcBorders>
            <w:vAlign w:val="center"/>
          </w:tcPr>
          <w:p w14:paraId="73561B08" w14:textId="77777777" w:rsidR="008F5741" w:rsidRPr="00A0631A" w:rsidRDefault="008F5741" w:rsidP="008F5741">
            <w:pPr>
              <w:rPr>
                <w:sz w:val="18"/>
              </w:rPr>
            </w:pPr>
          </w:p>
        </w:tc>
        <w:tc>
          <w:tcPr>
            <w:tcW w:w="1862" w:type="dxa"/>
            <w:shd w:val="clear" w:color="auto" w:fill="auto"/>
            <w:vAlign w:val="center"/>
          </w:tcPr>
          <w:p w14:paraId="4957E736" w14:textId="77777777" w:rsidR="008F5741" w:rsidRPr="00A0631A" w:rsidRDefault="008F5741" w:rsidP="008F5741">
            <w:pPr>
              <w:rPr>
                <w:sz w:val="16"/>
                <w:szCs w:val="16"/>
              </w:rPr>
            </w:pPr>
            <w:r w:rsidRPr="00A0631A">
              <w:rPr>
                <w:sz w:val="16"/>
                <w:szCs w:val="16"/>
              </w:rPr>
              <w:t>N/A</w:t>
            </w:r>
          </w:p>
        </w:tc>
      </w:tr>
      <w:tr w:rsidR="008F5741" w14:paraId="05FAAC81" w14:textId="77777777" w:rsidTr="008F5741">
        <w:trPr>
          <w:trHeight w:val="283"/>
          <w:jc w:val="center"/>
        </w:trPr>
        <w:tc>
          <w:tcPr>
            <w:tcW w:w="1002" w:type="dxa"/>
            <w:vAlign w:val="center"/>
          </w:tcPr>
          <w:p w14:paraId="5FA2621C" w14:textId="77777777" w:rsidR="008F5741" w:rsidRPr="00831E8F" w:rsidRDefault="008F5741" w:rsidP="008F5741">
            <w:pPr>
              <w:rPr>
                <w:sz w:val="14"/>
                <w:szCs w:val="18"/>
              </w:rPr>
            </w:pPr>
            <w:r w:rsidRPr="00831E8F">
              <w:rPr>
                <w:sz w:val="14"/>
                <w:szCs w:val="18"/>
              </w:rPr>
              <w:t>Reinicio:</w:t>
            </w:r>
          </w:p>
        </w:tc>
        <w:tc>
          <w:tcPr>
            <w:tcW w:w="227" w:type="dxa"/>
            <w:tcBorders>
              <w:top w:val="nil"/>
              <w:bottom w:val="nil"/>
            </w:tcBorders>
            <w:shd w:val="clear" w:color="auto" w:fill="auto"/>
          </w:tcPr>
          <w:p w14:paraId="739AAD5A" w14:textId="77777777" w:rsidR="008F5741" w:rsidRPr="00831E8F" w:rsidRDefault="008F5741" w:rsidP="008F5741">
            <w:pPr>
              <w:rPr>
                <w:sz w:val="14"/>
                <w:szCs w:val="18"/>
              </w:rPr>
            </w:pPr>
          </w:p>
        </w:tc>
        <w:tc>
          <w:tcPr>
            <w:tcW w:w="1871" w:type="dxa"/>
            <w:vAlign w:val="center"/>
          </w:tcPr>
          <w:p w14:paraId="0FF94617" w14:textId="77777777" w:rsidR="008F5741" w:rsidRPr="00A0631A" w:rsidRDefault="008F5741" w:rsidP="008F5741">
            <w:pPr>
              <w:rPr>
                <w:sz w:val="16"/>
                <w:szCs w:val="18"/>
              </w:rPr>
            </w:pPr>
            <w:r w:rsidRPr="00EE720C">
              <w:rPr>
                <w:color w:val="FF0000"/>
                <w:sz w:val="16"/>
                <w:szCs w:val="18"/>
              </w:rPr>
              <w:t>25</w:t>
            </w:r>
            <w:r w:rsidRPr="00A0631A">
              <w:rPr>
                <w:sz w:val="16"/>
                <w:szCs w:val="18"/>
              </w:rPr>
              <w:t>/09/2017</w:t>
            </w:r>
          </w:p>
        </w:tc>
        <w:tc>
          <w:tcPr>
            <w:tcW w:w="227" w:type="dxa"/>
            <w:tcBorders>
              <w:top w:val="nil"/>
              <w:bottom w:val="nil"/>
            </w:tcBorders>
            <w:vAlign w:val="center"/>
          </w:tcPr>
          <w:p w14:paraId="6902A583" w14:textId="77777777" w:rsidR="008F5741" w:rsidRPr="00A0631A" w:rsidRDefault="008F5741" w:rsidP="008F5741">
            <w:pPr>
              <w:rPr>
                <w:sz w:val="18"/>
              </w:rPr>
            </w:pPr>
          </w:p>
        </w:tc>
        <w:tc>
          <w:tcPr>
            <w:tcW w:w="1871" w:type="dxa"/>
            <w:shd w:val="clear" w:color="auto" w:fill="auto"/>
            <w:vAlign w:val="center"/>
          </w:tcPr>
          <w:p w14:paraId="25948588" w14:textId="77777777" w:rsidR="008F5741" w:rsidRPr="00A0631A" w:rsidRDefault="008F5741" w:rsidP="008F5741">
            <w:pPr>
              <w:rPr>
                <w:sz w:val="16"/>
                <w:szCs w:val="16"/>
              </w:rPr>
            </w:pPr>
            <w:r w:rsidRPr="00A0631A">
              <w:rPr>
                <w:sz w:val="16"/>
                <w:szCs w:val="16"/>
              </w:rPr>
              <w:t>N/A</w:t>
            </w:r>
          </w:p>
        </w:tc>
        <w:tc>
          <w:tcPr>
            <w:tcW w:w="236" w:type="dxa"/>
            <w:tcBorders>
              <w:top w:val="nil"/>
              <w:bottom w:val="nil"/>
            </w:tcBorders>
            <w:vAlign w:val="center"/>
          </w:tcPr>
          <w:p w14:paraId="4DD37E4F" w14:textId="77777777" w:rsidR="008F5741" w:rsidRPr="00A0631A" w:rsidRDefault="008F5741" w:rsidP="008F5741">
            <w:pPr>
              <w:rPr>
                <w:sz w:val="18"/>
              </w:rPr>
            </w:pPr>
          </w:p>
        </w:tc>
        <w:tc>
          <w:tcPr>
            <w:tcW w:w="1862" w:type="dxa"/>
            <w:shd w:val="clear" w:color="auto" w:fill="auto"/>
            <w:vAlign w:val="center"/>
          </w:tcPr>
          <w:p w14:paraId="45A1769D" w14:textId="77777777" w:rsidR="008F5741" w:rsidRPr="00A0631A" w:rsidRDefault="008F5741" w:rsidP="008F5741">
            <w:pPr>
              <w:rPr>
                <w:sz w:val="16"/>
                <w:szCs w:val="16"/>
              </w:rPr>
            </w:pPr>
            <w:r w:rsidRPr="00A0631A">
              <w:rPr>
                <w:sz w:val="16"/>
                <w:szCs w:val="16"/>
              </w:rPr>
              <w:t>N/A</w:t>
            </w:r>
          </w:p>
        </w:tc>
        <w:tc>
          <w:tcPr>
            <w:tcW w:w="236" w:type="dxa"/>
            <w:tcBorders>
              <w:top w:val="nil"/>
              <w:bottom w:val="nil"/>
            </w:tcBorders>
            <w:vAlign w:val="center"/>
          </w:tcPr>
          <w:p w14:paraId="5E503DAC" w14:textId="77777777" w:rsidR="008F5741" w:rsidRPr="00A0631A" w:rsidRDefault="008F5741" w:rsidP="008F5741">
            <w:pPr>
              <w:rPr>
                <w:sz w:val="18"/>
              </w:rPr>
            </w:pPr>
          </w:p>
        </w:tc>
        <w:tc>
          <w:tcPr>
            <w:tcW w:w="1862" w:type="dxa"/>
            <w:shd w:val="clear" w:color="auto" w:fill="auto"/>
            <w:vAlign w:val="center"/>
          </w:tcPr>
          <w:p w14:paraId="475AEB1E" w14:textId="77777777" w:rsidR="008F5741" w:rsidRPr="00A0631A" w:rsidRDefault="008F5741" w:rsidP="008F5741">
            <w:pPr>
              <w:rPr>
                <w:sz w:val="16"/>
                <w:szCs w:val="16"/>
              </w:rPr>
            </w:pPr>
            <w:r w:rsidRPr="00A0631A">
              <w:rPr>
                <w:sz w:val="16"/>
                <w:szCs w:val="16"/>
              </w:rPr>
              <w:t>N/A</w:t>
            </w:r>
          </w:p>
        </w:tc>
      </w:tr>
      <w:tr w:rsidR="008F5741" w14:paraId="4158FE40" w14:textId="77777777" w:rsidTr="008F5741">
        <w:trPr>
          <w:trHeight w:val="283"/>
          <w:jc w:val="center"/>
        </w:trPr>
        <w:tc>
          <w:tcPr>
            <w:tcW w:w="1002" w:type="dxa"/>
            <w:vAlign w:val="center"/>
          </w:tcPr>
          <w:p w14:paraId="7CB872BA" w14:textId="77777777" w:rsidR="008F5741" w:rsidRPr="00831E8F" w:rsidRDefault="008F5741" w:rsidP="008F5741">
            <w:pPr>
              <w:rPr>
                <w:sz w:val="14"/>
                <w:szCs w:val="18"/>
              </w:rPr>
            </w:pPr>
            <w:r w:rsidRPr="00831E8F">
              <w:rPr>
                <w:sz w:val="14"/>
                <w:szCs w:val="18"/>
              </w:rPr>
              <w:t>Fecha fin:</w:t>
            </w:r>
          </w:p>
        </w:tc>
        <w:tc>
          <w:tcPr>
            <w:tcW w:w="227" w:type="dxa"/>
            <w:tcBorders>
              <w:top w:val="nil"/>
              <w:bottom w:val="nil"/>
            </w:tcBorders>
            <w:shd w:val="clear" w:color="auto" w:fill="auto"/>
          </w:tcPr>
          <w:p w14:paraId="4B164DAB" w14:textId="77777777" w:rsidR="008F5741" w:rsidRPr="00831E8F" w:rsidRDefault="008F5741" w:rsidP="008F5741">
            <w:pPr>
              <w:rPr>
                <w:sz w:val="14"/>
                <w:szCs w:val="18"/>
              </w:rPr>
            </w:pPr>
          </w:p>
        </w:tc>
        <w:tc>
          <w:tcPr>
            <w:tcW w:w="1871" w:type="dxa"/>
            <w:vAlign w:val="center"/>
          </w:tcPr>
          <w:p w14:paraId="31AE7BF4" w14:textId="77777777" w:rsidR="008F5741" w:rsidRPr="00A0631A" w:rsidRDefault="008F5741" w:rsidP="008F5741">
            <w:pPr>
              <w:rPr>
                <w:sz w:val="16"/>
                <w:szCs w:val="18"/>
              </w:rPr>
            </w:pPr>
            <w:r w:rsidRPr="00EE720C">
              <w:rPr>
                <w:color w:val="FF0000"/>
                <w:sz w:val="16"/>
                <w:szCs w:val="18"/>
              </w:rPr>
              <w:t>18</w:t>
            </w:r>
            <w:r w:rsidRPr="00A0631A">
              <w:rPr>
                <w:sz w:val="16"/>
                <w:szCs w:val="18"/>
              </w:rPr>
              <w:t>/09/2018</w:t>
            </w:r>
          </w:p>
        </w:tc>
        <w:tc>
          <w:tcPr>
            <w:tcW w:w="227" w:type="dxa"/>
            <w:tcBorders>
              <w:top w:val="nil"/>
              <w:bottom w:val="nil"/>
            </w:tcBorders>
            <w:vAlign w:val="center"/>
          </w:tcPr>
          <w:p w14:paraId="0DD60986" w14:textId="77777777" w:rsidR="008F5741" w:rsidRPr="00E1445F" w:rsidRDefault="008F5741" w:rsidP="008F5741">
            <w:pPr>
              <w:rPr>
                <w:sz w:val="18"/>
                <w:highlight w:val="yellow"/>
              </w:rPr>
            </w:pPr>
          </w:p>
        </w:tc>
        <w:tc>
          <w:tcPr>
            <w:tcW w:w="1871" w:type="dxa"/>
            <w:shd w:val="clear" w:color="auto" w:fill="auto"/>
            <w:vAlign w:val="center"/>
          </w:tcPr>
          <w:p w14:paraId="673810E6" w14:textId="77777777" w:rsidR="008F5741" w:rsidRPr="00E1445F" w:rsidRDefault="008F5741" w:rsidP="008F5741">
            <w:pPr>
              <w:rPr>
                <w:sz w:val="16"/>
                <w:szCs w:val="16"/>
                <w:highlight w:val="yellow"/>
              </w:rPr>
            </w:pPr>
            <w:r w:rsidRPr="00E1445F">
              <w:rPr>
                <w:sz w:val="16"/>
                <w:szCs w:val="16"/>
              </w:rPr>
              <w:t>18/7/2018</w:t>
            </w:r>
          </w:p>
        </w:tc>
        <w:tc>
          <w:tcPr>
            <w:tcW w:w="236" w:type="dxa"/>
            <w:tcBorders>
              <w:top w:val="nil"/>
              <w:bottom w:val="nil"/>
            </w:tcBorders>
            <w:vAlign w:val="center"/>
          </w:tcPr>
          <w:p w14:paraId="6CED42BC" w14:textId="77777777" w:rsidR="008F5741" w:rsidRPr="00A0631A" w:rsidRDefault="008F5741" w:rsidP="008F5741">
            <w:pPr>
              <w:rPr>
                <w:sz w:val="18"/>
              </w:rPr>
            </w:pPr>
          </w:p>
        </w:tc>
        <w:tc>
          <w:tcPr>
            <w:tcW w:w="1862" w:type="dxa"/>
            <w:shd w:val="clear" w:color="auto" w:fill="auto"/>
            <w:vAlign w:val="center"/>
          </w:tcPr>
          <w:p w14:paraId="652617D0" w14:textId="77777777" w:rsidR="008F5741" w:rsidRPr="00A0631A" w:rsidRDefault="008F5741" w:rsidP="008F5741">
            <w:pPr>
              <w:rPr>
                <w:sz w:val="16"/>
                <w:szCs w:val="16"/>
              </w:rPr>
            </w:pPr>
            <w:r w:rsidRPr="00A0631A">
              <w:rPr>
                <w:sz w:val="16"/>
                <w:szCs w:val="16"/>
              </w:rPr>
              <w:t>11/03/2019</w:t>
            </w:r>
          </w:p>
        </w:tc>
        <w:tc>
          <w:tcPr>
            <w:tcW w:w="236" w:type="dxa"/>
            <w:tcBorders>
              <w:top w:val="nil"/>
              <w:bottom w:val="nil"/>
            </w:tcBorders>
            <w:vAlign w:val="center"/>
          </w:tcPr>
          <w:p w14:paraId="016C6799" w14:textId="77777777" w:rsidR="008F5741" w:rsidRPr="00A0631A" w:rsidRDefault="008F5741" w:rsidP="008F5741">
            <w:pPr>
              <w:rPr>
                <w:sz w:val="18"/>
              </w:rPr>
            </w:pPr>
          </w:p>
        </w:tc>
        <w:tc>
          <w:tcPr>
            <w:tcW w:w="1862" w:type="dxa"/>
            <w:vAlign w:val="center"/>
          </w:tcPr>
          <w:p w14:paraId="36CF14AD" w14:textId="77777777" w:rsidR="008F5741" w:rsidRPr="00A0631A" w:rsidRDefault="008F5741" w:rsidP="008F5741">
            <w:pPr>
              <w:rPr>
                <w:sz w:val="16"/>
                <w:szCs w:val="16"/>
              </w:rPr>
            </w:pPr>
            <w:r w:rsidRPr="00A0631A">
              <w:rPr>
                <w:sz w:val="16"/>
                <w:szCs w:val="16"/>
              </w:rPr>
              <w:t>25/05/2018</w:t>
            </w:r>
          </w:p>
        </w:tc>
      </w:tr>
      <w:tr w:rsidR="008F5741" w14:paraId="12AA35C9" w14:textId="77777777" w:rsidTr="008F5741">
        <w:trPr>
          <w:trHeight w:val="283"/>
          <w:jc w:val="center"/>
        </w:trPr>
        <w:tc>
          <w:tcPr>
            <w:tcW w:w="1002" w:type="dxa"/>
            <w:vAlign w:val="center"/>
          </w:tcPr>
          <w:p w14:paraId="0E1EB48B" w14:textId="77777777" w:rsidR="008F5741" w:rsidRPr="00831E8F" w:rsidRDefault="008F5741" w:rsidP="008F5741">
            <w:pPr>
              <w:rPr>
                <w:sz w:val="14"/>
                <w:szCs w:val="18"/>
              </w:rPr>
            </w:pPr>
            <w:r w:rsidRPr="00831E8F">
              <w:rPr>
                <w:sz w:val="14"/>
                <w:szCs w:val="18"/>
              </w:rPr>
              <w:t xml:space="preserve">Duración: </w:t>
            </w:r>
          </w:p>
        </w:tc>
        <w:tc>
          <w:tcPr>
            <w:tcW w:w="227" w:type="dxa"/>
            <w:tcBorders>
              <w:top w:val="nil"/>
              <w:bottom w:val="nil"/>
            </w:tcBorders>
            <w:shd w:val="clear" w:color="auto" w:fill="auto"/>
          </w:tcPr>
          <w:p w14:paraId="4B01036D" w14:textId="77777777" w:rsidR="008F5741" w:rsidRPr="00831E8F" w:rsidRDefault="008F5741" w:rsidP="008F5741">
            <w:pPr>
              <w:rPr>
                <w:sz w:val="14"/>
                <w:szCs w:val="18"/>
              </w:rPr>
            </w:pPr>
          </w:p>
        </w:tc>
        <w:tc>
          <w:tcPr>
            <w:tcW w:w="1871" w:type="dxa"/>
            <w:vAlign w:val="center"/>
          </w:tcPr>
          <w:p w14:paraId="00ED38A7" w14:textId="77777777" w:rsidR="008F5741" w:rsidRPr="00A0631A" w:rsidRDefault="008F5741" w:rsidP="008F5741">
            <w:pPr>
              <w:rPr>
                <w:sz w:val="16"/>
                <w:szCs w:val="18"/>
              </w:rPr>
            </w:pPr>
            <w:r w:rsidRPr="00A0631A">
              <w:rPr>
                <w:sz w:val="16"/>
                <w:szCs w:val="18"/>
              </w:rPr>
              <w:t>12 meses</w:t>
            </w:r>
          </w:p>
        </w:tc>
        <w:tc>
          <w:tcPr>
            <w:tcW w:w="227" w:type="dxa"/>
            <w:tcBorders>
              <w:top w:val="nil"/>
              <w:bottom w:val="nil"/>
            </w:tcBorders>
            <w:vAlign w:val="center"/>
          </w:tcPr>
          <w:p w14:paraId="27A32028" w14:textId="77777777" w:rsidR="008F5741" w:rsidRPr="00A0631A" w:rsidRDefault="008F5741" w:rsidP="008F5741">
            <w:pPr>
              <w:rPr>
                <w:sz w:val="18"/>
              </w:rPr>
            </w:pPr>
          </w:p>
        </w:tc>
        <w:tc>
          <w:tcPr>
            <w:tcW w:w="1871" w:type="dxa"/>
            <w:shd w:val="clear" w:color="auto" w:fill="auto"/>
            <w:vAlign w:val="center"/>
          </w:tcPr>
          <w:p w14:paraId="38156EEE" w14:textId="77777777" w:rsidR="008F5741" w:rsidRPr="00A0631A" w:rsidRDefault="008F5741" w:rsidP="008F5741">
            <w:pPr>
              <w:rPr>
                <w:sz w:val="16"/>
                <w:szCs w:val="16"/>
              </w:rPr>
            </w:pPr>
            <w:r w:rsidRPr="00A0631A">
              <w:rPr>
                <w:sz w:val="16"/>
                <w:szCs w:val="16"/>
              </w:rPr>
              <w:t>18 meses</w:t>
            </w:r>
          </w:p>
        </w:tc>
        <w:tc>
          <w:tcPr>
            <w:tcW w:w="236" w:type="dxa"/>
            <w:tcBorders>
              <w:top w:val="nil"/>
              <w:bottom w:val="nil"/>
            </w:tcBorders>
            <w:vAlign w:val="center"/>
          </w:tcPr>
          <w:p w14:paraId="294D81FB" w14:textId="77777777" w:rsidR="008F5741" w:rsidRPr="00A0631A" w:rsidRDefault="008F5741" w:rsidP="008F5741">
            <w:pPr>
              <w:rPr>
                <w:sz w:val="18"/>
              </w:rPr>
            </w:pPr>
          </w:p>
        </w:tc>
        <w:tc>
          <w:tcPr>
            <w:tcW w:w="1862" w:type="dxa"/>
            <w:shd w:val="clear" w:color="auto" w:fill="auto"/>
            <w:vAlign w:val="center"/>
          </w:tcPr>
          <w:p w14:paraId="1D80505B" w14:textId="77777777" w:rsidR="008F5741" w:rsidRPr="00A0631A" w:rsidRDefault="008F5741" w:rsidP="008F5741">
            <w:pPr>
              <w:rPr>
                <w:sz w:val="16"/>
                <w:szCs w:val="16"/>
              </w:rPr>
            </w:pPr>
          </w:p>
        </w:tc>
        <w:tc>
          <w:tcPr>
            <w:tcW w:w="236" w:type="dxa"/>
            <w:tcBorders>
              <w:top w:val="nil"/>
              <w:bottom w:val="nil"/>
            </w:tcBorders>
            <w:vAlign w:val="center"/>
          </w:tcPr>
          <w:p w14:paraId="5E976230" w14:textId="77777777" w:rsidR="008F5741" w:rsidRPr="00A0631A" w:rsidRDefault="008F5741" w:rsidP="008F5741">
            <w:pPr>
              <w:rPr>
                <w:sz w:val="18"/>
              </w:rPr>
            </w:pPr>
          </w:p>
        </w:tc>
        <w:tc>
          <w:tcPr>
            <w:tcW w:w="1862" w:type="dxa"/>
            <w:vAlign w:val="center"/>
          </w:tcPr>
          <w:p w14:paraId="709EAEF1" w14:textId="77777777" w:rsidR="008F5741" w:rsidRPr="00A0631A" w:rsidRDefault="008F5741" w:rsidP="008F5741">
            <w:pPr>
              <w:rPr>
                <w:sz w:val="16"/>
                <w:szCs w:val="16"/>
              </w:rPr>
            </w:pPr>
            <w:r w:rsidRPr="00A0631A">
              <w:rPr>
                <w:sz w:val="16"/>
                <w:szCs w:val="16"/>
              </w:rPr>
              <w:t>9 meses</w:t>
            </w:r>
          </w:p>
        </w:tc>
      </w:tr>
      <w:tr w:rsidR="008F5741" w14:paraId="4DDC4941" w14:textId="77777777" w:rsidTr="008F5741">
        <w:trPr>
          <w:trHeight w:val="283"/>
          <w:jc w:val="center"/>
        </w:trPr>
        <w:tc>
          <w:tcPr>
            <w:tcW w:w="1002" w:type="dxa"/>
            <w:vAlign w:val="center"/>
          </w:tcPr>
          <w:p w14:paraId="26DE1898" w14:textId="77777777" w:rsidR="008F5741" w:rsidRPr="00831E8F" w:rsidRDefault="008F5741" w:rsidP="008F5741">
            <w:pPr>
              <w:rPr>
                <w:sz w:val="14"/>
                <w:szCs w:val="18"/>
              </w:rPr>
            </w:pPr>
            <w:r>
              <w:rPr>
                <w:sz w:val="14"/>
                <w:szCs w:val="18"/>
              </w:rPr>
              <w:t>Prorrogas</w:t>
            </w:r>
          </w:p>
        </w:tc>
        <w:tc>
          <w:tcPr>
            <w:tcW w:w="227" w:type="dxa"/>
            <w:tcBorders>
              <w:top w:val="nil"/>
              <w:bottom w:val="nil"/>
            </w:tcBorders>
            <w:shd w:val="clear" w:color="auto" w:fill="auto"/>
          </w:tcPr>
          <w:p w14:paraId="31623804" w14:textId="77777777" w:rsidR="008F5741" w:rsidRPr="00831E8F" w:rsidRDefault="008F5741" w:rsidP="008F5741">
            <w:pPr>
              <w:rPr>
                <w:sz w:val="14"/>
                <w:szCs w:val="18"/>
              </w:rPr>
            </w:pPr>
          </w:p>
        </w:tc>
        <w:tc>
          <w:tcPr>
            <w:tcW w:w="1871" w:type="dxa"/>
            <w:shd w:val="clear" w:color="auto" w:fill="auto"/>
            <w:vAlign w:val="center"/>
          </w:tcPr>
          <w:p w14:paraId="200BBF28" w14:textId="77777777" w:rsidR="008F5741" w:rsidRPr="00A0631A" w:rsidRDefault="008F5741" w:rsidP="008F5741">
            <w:pPr>
              <w:rPr>
                <w:sz w:val="16"/>
                <w:szCs w:val="18"/>
              </w:rPr>
            </w:pPr>
            <w:r w:rsidRPr="00A0631A">
              <w:rPr>
                <w:sz w:val="16"/>
                <w:szCs w:val="16"/>
              </w:rPr>
              <w:t>N/A</w:t>
            </w:r>
          </w:p>
        </w:tc>
        <w:tc>
          <w:tcPr>
            <w:tcW w:w="227" w:type="dxa"/>
            <w:tcBorders>
              <w:top w:val="nil"/>
              <w:bottom w:val="nil"/>
            </w:tcBorders>
            <w:vAlign w:val="center"/>
          </w:tcPr>
          <w:p w14:paraId="7DB122DE" w14:textId="77777777" w:rsidR="008F5741" w:rsidRPr="00A0631A" w:rsidRDefault="008F5741" w:rsidP="008F5741">
            <w:pPr>
              <w:rPr>
                <w:sz w:val="18"/>
              </w:rPr>
            </w:pPr>
          </w:p>
        </w:tc>
        <w:tc>
          <w:tcPr>
            <w:tcW w:w="1871" w:type="dxa"/>
            <w:shd w:val="clear" w:color="auto" w:fill="auto"/>
            <w:vAlign w:val="center"/>
          </w:tcPr>
          <w:p w14:paraId="0F93877A" w14:textId="77777777" w:rsidR="008F5741" w:rsidRPr="00A0631A" w:rsidRDefault="008F5741" w:rsidP="008F5741">
            <w:pPr>
              <w:rPr>
                <w:sz w:val="16"/>
                <w:szCs w:val="16"/>
              </w:rPr>
            </w:pPr>
            <w:r w:rsidRPr="00A0631A">
              <w:rPr>
                <w:sz w:val="16"/>
                <w:szCs w:val="16"/>
              </w:rPr>
              <w:t>N/A</w:t>
            </w:r>
          </w:p>
        </w:tc>
        <w:tc>
          <w:tcPr>
            <w:tcW w:w="236" w:type="dxa"/>
            <w:tcBorders>
              <w:top w:val="nil"/>
              <w:bottom w:val="nil"/>
            </w:tcBorders>
            <w:vAlign w:val="center"/>
          </w:tcPr>
          <w:p w14:paraId="29C10B4B" w14:textId="77777777" w:rsidR="008F5741" w:rsidRPr="00A0631A" w:rsidRDefault="008F5741" w:rsidP="008F5741">
            <w:pPr>
              <w:rPr>
                <w:sz w:val="18"/>
              </w:rPr>
            </w:pPr>
          </w:p>
        </w:tc>
        <w:tc>
          <w:tcPr>
            <w:tcW w:w="1862" w:type="dxa"/>
            <w:shd w:val="clear" w:color="auto" w:fill="auto"/>
            <w:vAlign w:val="center"/>
          </w:tcPr>
          <w:p w14:paraId="6DDB0A05" w14:textId="77777777" w:rsidR="008F5741" w:rsidRPr="00A0631A" w:rsidRDefault="008F5741" w:rsidP="008F5741">
            <w:pPr>
              <w:rPr>
                <w:sz w:val="16"/>
                <w:szCs w:val="16"/>
              </w:rPr>
            </w:pPr>
            <w:r w:rsidRPr="00A0631A">
              <w:rPr>
                <w:sz w:val="16"/>
                <w:szCs w:val="16"/>
              </w:rPr>
              <w:t>N/A</w:t>
            </w:r>
          </w:p>
        </w:tc>
        <w:tc>
          <w:tcPr>
            <w:tcW w:w="236" w:type="dxa"/>
            <w:tcBorders>
              <w:top w:val="nil"/>
              <w:bottom w:val="nil"/>
            </w:tcBorders>
            <w:vAlign w:val="center"/>
          </w:tcPr>
          <w:p w14:paraId="071C507D" w14:textId="77777777" w:rsidR="008F5741" w:rsidRPr="00A0631A" w:rsidRDefault="008F5741" w:rsidP="008F5741">
            <w:pPr>
              <w:rPr>
                <w:sz w:val="18"/>
              </w:rPr>
            </w:pPr>
          </w:p>
        </w:tc>
        <w:tc>
          <w:tcPr>
            <w:tcW w:w="1862" w:type="dxa"/>
            <w:vAlign w:val="center"/>
          </w:tcPr>
          <w:p w14:paraId="644889D3" w14:textId="77777777" w:rsidR="008F5741" w:rsidRPr="00A0631A" w:rsidRDefault="008F5741" w:rsidP="008F5741">
            <w:pPr>
              <w:rPr>
                <w:sz w:val="16"/>
                <w:szCs w:val="16"/>
              </w:rPr>
            </w:pPr>
            <w:r w:rsidRPr="00A0631A">
              <w:rPr>
                <w:sz w:val="16"/>
                <w:szCs w:val="16"/>
              </w:rPr>
              <w:t>28/12/2018</w:t>
            </w:r>
          </w:p>
        </w:tc>
      </w:tr>
      <w:tr w:rsidR="008F5741" w14:paraId="79A4B37A" w14:textId="77777777" w:rsidTr="008F5741">
        <w:trPr>
          <w:trHeight w:val="283"/>
          <w:jc w:val="center"/>
        </w:trPr>
        <w:tc>
          <w:tcPr>
            <w:tcW w:w="1002" w:type="dxa"/>
            <w:vAlign w:val="center"/>
          </w:tcPr>
          <w:p w14:paraId="16F32825" w14:textId="77777777" w:rsidR="008F5741" w:rsidRPr="00831E8F" w:rsidRDefault="008F5741" w:rsidP="008F5741">
            <w:pPr>
              <w:rPr>
                <w:sz w:val="14"/>
                <w:szCs w:val="18"/>
              </w:rPr>
            </w:pPr>
            <w:r w:rsidRPr="00831E8F">
              <w:rPr>
                <w:sz w:val="14"/>
                <w:szCs w:val="18"/>
              </w:rPr>
              <w:t>Interventor</w:t>
            </w:r>
            <w:r>
              <w:rPr>
                <w:sz w:val="14"/>
                <w:szCs w:val="18"/>
              </w:rPr>
              <w:t xml:space="preserve"> anterior</w:t>
            </w:r>
            <w:r w:rsidRPr="00831E8F">
              <w:rPr>
                <w:sz w:val="14"/>
                <w:szCs w:val="18"/>
              </w:rPr>
              <w:t xml:space="preserve">: </w:t>
            </w:r>
          </w:p>
        </w:tc>
        <w:tc>
          <w:tcPr>
            <w:tcW w:w="227" w:type="dxa"/>
            <w:tcBorders>
              <w:top w:val="nil"/>
              <w:bottom w:val="nil"/>
            </w:tcBorders>
            <w:shd w:val="clear" w:color="auto" w:fill="auto"/>
          </w:tcPr>
          <w:p w14:paraId="0957CBA4" w14:textId="77777777" w:rsidR="008F5741" w:rsidRPr="00831E8F" w:rsidRDefault="008F5741" w:rsidP="008F5741">
            <w:pPr>
              <w:rPr>
                <w:sz w:val="14"/>
                <w:szCs w:val="18"/>
              </w:rPr>
            </w:pPr>
          </w:p>
        </w:tc>
        <w:tc>
          <w:tcPr>
            <w:tcW w:w="1871" w:type="dxa"/>
            <w:vAlign w:val="center"/>
          </w:tcPr>
          <w:p w14:paraId="082C0EE6" w14:textId="77777777" w:rsidR="008F5741" w:rsidRPr="00A0631A" w:rsidRDefault="008F5741" w:rsidP="008F5741">
            <w:pPr>
              <w:rPr>
                <w:sz w:val="16"/>
                <w:szCs w:val="18"/>
              </w:rPr>
            </w:pPr>
            <w:r w:rsidRPr="00A0631A">
              <w:rPr>
                <w:sz w:val="16"/>
                <w:szCs w:val="18"/>
              </w:rPr>
              <w:t>Ana María Gutiérrez</w:t>
            </w:r>
          </w:p>
        </w:tc>
        <w:tc>
          <w:tcPr>
            <w:tcW w:w="227" w:type="dxa"/>
            <w:tcBorders>
              <w:top w:val="nil"/>
              <w:bottom w:val="nil"/>
            </w:tcBorders>
            <w:vAlign w:val="center"/>
          </w:tcPr>
          <w:p w14:paraId="1D444980" w14:textId="77777777" w:rsidR="008F5741" w:rsidRPr="00A0631A" w:rsidRDefault="008F5741" w:rsidP="008F5741">
            <w:pPr>
              <w:rPr>
                <w:sz w:val="18"/>
              </w:rPr>
            </w:pPr>
          </w:p>
        </w:tc>
        <w:tc>
          <w:tcPr>
            <w:tcW w:w="1871" w:type="dxa"/>
            <w:vAlign w:val="center"/>
          </w:tcPr>
          <w:p w14:paraId="5FC472F6" w14:textId="77777777" w:rsidR="008F5741" w:rsidRPr="00A0631A" w:rsidRDefault="008F5741" w:rsidP="008F5741">
            <w:pPr>
              <w:rPr>
                <w:sz w:val="16"/>
                <w:szCs w:val="16"/>
              </w:rPr>
            </w:pPr>
            <w:r w:rsidRPr="00A0631A">
              <w:rPr>
                <w:sz w:val="16"/>
                <w:szCs w:val="18"/>
              </w:rPr>
              <w:t>Ana María Gutiérrez</w:t>
            </w:r>
          </w:p>
        </w:tc>
        <w:tc>
          <w:tcPr>
            <w:tcW w:w="236" w:type="dxa"/>
            <w:tcBorders>
              <w:top w:val="nil"/>
              <w:bottom w:val="nil"/>
            </w:tcBorders>
            <w:vAlign w:val="center"/>
          </w:tcPr>
          <w:p w14:paraId="0E7B41CE" w14:textId="77777777" w:rsidR="008F5741" w:rsidRPr="00A0631A" w:rsidRDefault="008F5741" w:rsidP="008F5741">
            <w:pPr>
              <w:rPr>
                <w:sz w:val="18"/>
              </w:rPr>
            </w:pPr>
          </w:p>
        </w:tc>
        <w:tc>
          <w:tcPr>
            <w:tcW w:w="1862" w:type="dxa"/>
            <w:vMerge w:val="restart"/>
            <w:shd w:val="clear" w:color="auto" w:fill="auto"/>
            <w:vAlign w:val="center"/>
          </w:tcPr>
          <w:p w14:paraId="299827AC" w14:textId="77777777" w:rsidR="008F5741" w:rsidRPr="00A0631A" w:rsidRDefault="008F5741" w:rsidP="008F5741">
            <w:pPr>
              <w:rPr>
                <w:color w:val="FF0000"/>
                <w:sz w:val="16"/>
                <w:szCs w:val="16"/>
              </w:rPr>
            </w:pPr>
            <w:r w:rsidRPr="00A0631A">
              <w:rPr>
                <w:sz w:val="16"/>
                <w:szCs w:val="16"/>
              </w:rPr>
              <w:t>N/A</w:t>
            </w:r>
          </w:p>
        </w:tc>
        <w:tc>
          <w:tcPr>
            <w:tcW w:w="236" w:type="dxa"/>
            <w:tcBorders>
              <w:top w:val="nil"/>
              <w:bottom w:val="nil"/>
            </w:tcBorders>
            <w:vAlign w:val="center"/>
          </w:tcPr>
          <w:p w14:paraId="4D36AEED" w14:textId="77777777" w:rsidR="008F5741" w:rsidRPr="00A0631A" w:rsidRDefault="008F5741" w:rsidP="008F5741">
            <w:pPr>
              <w:rPr>
                <w:sz w:val="18"/>
              </w:rPr>
            </w:pPr>
          </w:p>
        </w:tc>
        <w:tc>
          <w:tcPr>
            <w:tcW w:w="1862" w:type="dxa"/>
            <w:vAlign w:val="center"/>
          </w:tcPr>
          <w:p w14:paraId="45E191D7" w14:textId="77777777" w:rsidR="008F5741" w:rsidRPr="00A0631A" w:rsidRDefault="008F5741" w:rsidP="008F5741">
            <w:pPr>
              <w:rPr>
                <w:sz w:val="16"/>
                <w:szCs w:val="16"/>
              </w:rPr>
            </w:pPr>
            <w:r w:rsidRPr="00A0631A">
              <w:rPr>
                <w:sz w:val="16"/>
                <w:szCs w:val="16"/>
              </w:rPr>
              <w:t>Ana María Gutiérrez</w:t>
            </w:r>
          </w:p>
        </w:tc>
      </w:tr>
      <w:tr w:rsidR="008F5741" w14:paraId="1C64C00C" w14:textId="77777777" w:rsidTr="008F5741">
        <w:trPr>
          <w:trHeight w:val="283"/>
          <w:jc w:val="center"/>
        </w:trPr>
        <w:tc>
          <w:tcPr>
            <w:tcW w:w="1002" w:type="dxa"/>
            <w:vAlign w:val="center"/>
          </w:tcPr>
          <w:p w14:paraId="3E864F60" w14:textId="77777777" w:rsidR="008F5741" w:rsidRPr="00831E8F" w:rsidRDefault="008F5741" w:rsidP="008F5741">
            <w:pPr>
              <w:rPr>
                <w:sz w:val="14"/>
                <w:szCs w:val="18"/>
              </w:rPr>
            </w:pPr>
            <w:r>
              <w:rPr>
                <w:sz w:val="14"/>
                <w:szCs w:val="18"/>
              </w:rPr>
              <w:t>Interventor actual:</w:t>
            </w:r>
          </w:p>
        </w:tc>
        <w:tc>
          <w:tcPr>
            <w:tcW w:w="227" w:type="dxa"/>
            <w:tcBorders>
              <w:top w:val="nil"/>
              <w:bottom w:val="nil"/>
            </w:tcBorders>
            <w:shd w:val="clear" w:color="auto" w:fill="auto"/>
          </w:tcPr>
          <w:p w14:paraId="419FD9AF" w14:textId="77777777" w:rsidR="008F5741" w:rsidRPr="00831E8F" w:rsidRDefault="008F5741" w:rsidP="008F5741">
            <w:pPr>
              <w:rPr>
                <w:sz w:val="14"/>
                <w:szCs w:val="18"/>
              </w:rPr>
            </w:pPr>
          </w:p>
        </w:tc>
        <w:tc>
          <w:tcPr>
            <w:tcW w:w="1871" w:type="dxa"/>
            <w:vAlign w:val="center"/>
          </w:tcPr>
          <w:p w14:paraId="2C6EF72D" w14:textId="77777777" w:rsidR="008F5741" w:rsidRPr="00A0631A" w:rsidRDefault="008F5741" w:rsidP="008F5741">
            <w:pPr>
              <w:rPr>
                <w:sz w:val="16"/>
                <w:szCs w:val="18"/>
              </w:rPr>
            </w:pPr>
            <w:r w:rsidRPr="00A0631A">
              <w:rPr>
                <w:sz w:val="16"/>
                <w:szCs w:val="16"/>
              </w:rPr>
              <w:t>Edwin Úsuga Moreno</w:t>
            </w:r>
          </w:p>
        </w:tc>
        <w:tc>
          <w:tcPr>
            <w:tcW w:w="227" w:type="dxa"/>
            <w:tcBorders>
              <w:top w:val="nil"/>
              <w:bottom w:val="nil"/>
            </w:tcBorders>
            <w:vAlign w:val="center"/>
          </w:tcPr>
          <w:p w14:paraId="380D42B4" w14:textId="77777777" w:rsidR="008F5741" w:rsidRPr="00A0631A" w:rsidRDefault="008F5741" w:rsidP="008F5741">
            <w:pPr>
              <w:rPr>
                <w:sz w:val="18"/>
              </w:rPr>
            </w:pPr>
          </w:p>
        </w:tc>
        <w:tc>
          <w:tcPr>
            <w:tcW w:w="1871" w:type="dxa"/>
            <w:vAlign w:val="center"/>
          </w:tcPr>
          <w:p w14:paraId="6FC4C68F" w14:textId="77777777" w:rsidR="008F5741" w:rsidRPr="00A0631A" w:rsidRDefault="008F5741" w:rsidP="008F5741">
            <w:pPr>
              <w:rPr>
                <w:sz w:val="16"/>
                <w:szCs w:val="16"/>
              </w:rPr>
            </w:pPr>
            <w:r w:rsidRPr="00A0631A">
              <w:rPr>
                <w:sz w:val="16"/>
                <w:szCs w:val="16"/>
              </w:rPr>
              <w:t>Edwin Úsuga Moreno</w:t>
            </w:r>
          </w:p>
        </w:tc>
        <w:tc>
          <w:tcPr>
            <w:tcW w:w="236" w:type="dxa"/>
            <w:tcBorders>
              <w:top w:val="nil"/>
              <w:bottom w:val="nil"/>
            </w:tcBorders>
            <w:vAlign w:val="center"/>
          </w:tcPr>
          <w:p w14:paraId="6B024D9D" w14:textId="77777777" w:rsidR="008F5741" w:rsidRPr="00A0631A" w:rsidRDefault="008F5741" w:rsidP="008F5741">
            <w:pPr>
              <w:rPr>
                <w:sz w:val="18"/>
              </w:rPr>
            </w:pPr>
          </w:p>
        </w:tc>
        <w:tc>
          <w:tcPr>
            <w:tcW w:w="1862" w:type="dxa"/>
            <w:vMerge/>
            <w:shd w:val="clear" w:color="auto" w:fill="auto"/>
            <w:vAlign w:val="center"/>
          </w:tcPr>
          <w:p w14:paraId="52686F01" w14:textId="77777777" w:rsidR="008F5741" w:rsidRPr="00A0631A" w:rsidRDefault="008F5741" w:rsidP="008F5741">
            <w:pPr>
              <w:rPr>
                <w:sz w:val="16"/>
                <w:szCs w:val="16"/>
              </w:rPr>
            </w:pPr>
          </w:p>
        </w:tc>
        <w:tc>
          <w:tcPr>
            <w:tcW w:w="236" w:type="dxa"/>
            <w:tcBorders>
              <w:top w:val="nil"/>
              <w:bottom w:val="nil"/>
            </w:tcBorders>
            <w:vAlign w:val="center"/>
          </w:tcPr>
          <w:p w14:paraId="0B7753A8" w14:textId="77777777" w:rsidR="008F5741" w:rsidRPr="00A0631A" w:rsidRDefault="008F5741" w:rsidP="008F5741">
            <w:pPr>
              <w:rPr>
                <w:sz w:val="18"/>
              </w:rPr>
            </w:pPr>
          </w:p>
        </w:tc>
        <w:tc>
          <w:tcPr>
            <w:tcW w:w="1862" w:type="dxa"/>
            <w:vAlign w:val="center"/>
          </w:tcPr>
          <w:p w14:paraId="7BD102C8" w14:textId="77777777" w:rsidR="008F5741" w:rsidRPr="00A0631A" w:rsidRDefault="008F5741" w:rsidP="008F5741">
            <w:pPr>
              <w:rPr>
                <w:sz w:val="16"/>
                <w:szCs w:val="16"/>
              </w:rPr>
            </w:pPr>
            <w:r w:rsidRPr="00A0631A">
              <w:rPr>
                <w:sz w:val="16"/>
                <w:szCs w:val="16"/>
              </w:rPr>
              <w:t>Edwin Úsuga Moreno</w:t>
            </w:r>
          </w:p>
        </w:tc>
      </w:tr>
      <w:tr w:rsidR="008F5741" w14:paraId="25808421" w14:textId="77777777" w:rsidTr="008F5741">
        <w:trPr>
          <w:trHeight w:val="283"/>
          <w:jc w:val="center"/>
        </w:trPr>
        <w:tc>
          <w:tcPr>
            <w:tcW w:w="1002" w:type="dxa"/>
            <w:vAlign w:val="center"/>
          </w:tcPr>
          <w:p w14:paraId="60285CE8" w14:textId="77777777" w:rsidR="008F5741" w:rsidRPr="00831E8F" w:rsidRDefault="008F5741" w:rsidP="008F5741">
            <w:pPr>
              <w:rPr>
                <w:sz w:val="14"/>
                <w:szCs w:val="18"/>
              </w:rPr>
            </w:pPr>
            <w:r>
              <w:rPr>
                <w:sz w:val="14"/>
                <w:szCs w:val="18"/>
              </w:rPr>
              <w:t>Otro si 1</w:t>
            </w:r>
          </w:p>
        </w:tc>
        <w:tc>
          <w:tcPr>
            <w:tcW w:w="227" w:type="dxa"/>
            <w:tcBorders>
              <w:top w:val="nil"/>
              <w:bottom w:val="nil"/>
            </w:tcBorders>
            <w:shd w:val="clear" w:color="auto" w:fill="auto"/>
          </w:tcPr>
          <w:p w14:paraId="0781143D" w14:textId="77777777" w:rsidR="008F5741" w:rsidRPr="00831E8F" w:rsidRDefault="008F5741" w:rsidP="008F5741">
            <w:pPr>
              <w:rPr>
                <w:sz w:val="14"/>
                <w:szCs w:val="18"/>
              </w:rPr>
            </w:pPr>
          </w:p>
        </w:tc>
        <w:tc>
          <w:tcPr>
            <w:tcW w:w="1871" w:type="dxa"/>
            <w:vAlign w:val="center"/>
          </w:tcPr>
          <w:p w14:paraId="7DF22779" w14:textId="77777777" w:rsidR="008F5741" w:rsidRPr="00A0631A" w:rsidRDefault="008F5741" w:rsidP="008F5741">
            <w:pPr>
              <w:rPr>
                <w:sz w:val="16"/>
                <w:szCs w:val="18"/>
              </w:rPr>
            </w:pPr>
            <w:r w:rsidRPr="00A0631A">
              <w:rPr>
                <w:sz w:val="16"/>
                <w:szCs w:val="18"/>
              </w:rPr>
              <w:t>17/10/2017</w:t>
            </w:r>
          </w:p>
        </w:tc>
        <w:tc>
          <w:tcPr>
            <w:tcW w:w="227" w:type="dxa"/>
            <w:tcBorders>
              <w:top w:val="nil"/>
              <w:bottom w:val="nil"/>
            </w:tcBorders>
            <w:vAlign w:val="center"/>
          </w:tcPr>
          <w:p w14:paraId="4DE13974" w14:textId="77777777" w:rsidR="008F5741" w:rsidRPr="00A0631A" w:rsidRDefault="008F5741" w:rsidP="008F5741">
            <w:pPr>
              <w:rPr>
                <w:sz w:val="18"/>
              </w:rPr>
            </w:pPr>
          </w:p>
        </w:tc>
        <w:tc>
          <w:tcPr>
            <w:tcW w:w="1871" w:type="dxa"/>
            <w:vAlign w:val="center"/>
          </w:tcPr>
          <w:p w14:paraId="5465F194" w14:textId="77777777" w:rsidR="008F5741" w:rsidRPr="00A0631A" w:rsidRDefault="008F5741" w:rsidP="008F5741">
            <w:pPr>
              <w:rPr>
                <w:sz w:val="16"/>
                <w:szCs w:val="16"/>
              </w:rPr>
            </w:pPr>
            <w:r w:rsidRPr="00A0631A">
              <w:rPr>
                <w:sz w:val="16"/>
                <w:szCs w:val="16"/>
              </w:rPr>
              <w:t>15/01/2018</w:t>
            </w:r>
          </w:p>
        </w:tc>
        <w:tc>
          <w:tcPr>
            <w:tcW w:w="236" w:type="dxa"/>
            <w:tcBorders>
              <w:top w:val="nil"/>
              <w:bottom w:val="nil"/>
            </w:tcBorders>
            <w:vAlign w:val="center"/>
          </w:tcPr>
          <w:p w14:paraId="65F19DD2" w14:textId="77777777" w:rsidR="008F5741" w:rsidRPr="00A0631A" w:rsidRDefault="008F5741" w:rsidP="008F5741">
            <w:pPr>
              <w:rPr>
                <w:sz w:val="18"/>
              </w:rPr>
            </w:pPr>
          </w:p>
        </w:tc>
        <w:tc>
          <w:tcPr>
            <w:tcW w:w="1862" w:type="dxa"/>
            <w:shd w:val="clear" w:color="auto" w:fill="auto"/>
            <w:vAlign w:val="center"/>
          </w:tcPr>
          <w:p w14:paraId="01406014" w14:textId="77777777" w:rsidR="008F5741" w:rsidRPr="00A0631A" w:rsidRDefault="008F5741" w:rsidP="008F5741">
            <w:pPr>
              <w:rPr>
                <w:sz w:val="16"/>
                <w:szCs w:val="16"/>
              </w:rPr>
            </w:pPr>
            <w:r w:rsidRPr="00A0631A">
              <w:rPr>
                <w:sz w:val="16"/>
                <w:szCs w:val="16"/>
              </w:rPr>
              <w:t>N/A</w:t>
            </w:r>
          </w:p>
        </w:tc>
        <w:tc>
          <w:tcPr>
            <w:tcW w:w="236" w:type="dxa"/>
            <w:tcBorders>
              <w:top w:val="nil"/>
              <w:bottom w:val="nil"/>
            </w:tcBorders>
            <w:vAlign w:val="center"/>
          </w:tcPr>
          <w:p w14:paraId="1DB28A21" w14:textId="77777777" w:rsidR="008F5741" w:rsidRPr="00A0631A" w:rsidRDefault="008F5741" w:rsidP="008F5741">
            <w:pPr>
              <w:rPr>
                <w:sz w:val="18"/>
              </w:rPr>
            </w:pPr>
          </w:p>
        </w:tc>
        <w:tc>
          <w:tcPr>
            <w:tcW w:w="1862" w:type="dxa"/>
            <w:vAlign w:val="center"/>
          </w:tcPr>
          <w:p w14:paraId="6569C391" w14:textId="77777777" w:rsidR="008F5741" w:rsidRPr="00A0631A" w:rsidRDefault="008F5741" w:rsidP="008F5741">
            <w:pPr>
              <w:rPr>
                <w:sz w:val="16"/>
                <w:szCs w:val="16"/>
              </w:rPr>
            </w:pPr>
            <w:r w:rsidRPr="00A0631A">
              <w:rPr>
                <w:sz w:val="16"/>
                <w:szCs w:val="16"/>
              </w:rPr>
              <w:t>17/10/2017</w:t>
            </w:r>
          </w:p>
        </w:tc>
      </w:tr>
      <w:tr w:rsidR="008F5741" w14:paraId="1A99C32B" w14:textId="77777777" w:rsidTr="008F5741">
        <w:trPr>
          <w:trHeight w:val="283"/>
          <w:jc w:val="center"/>
        </w:trPr>
        <w:tc>
          <w:tcPr>
            <w:tcW w:w="1002" w:type="dxa"/>
            <w:vAlign w:val="center"/>
          </w:tcPr>
          <w:p w14:paraId="4E59BE1A" w14:textId="77777777" w:rsidR="008F5741" w:rsidRPr="00831E8F" w:rsidRDefault="008F5741" w:rsidP="008F5741">
            <w:pPr>
              <w:rPr>
                <w:sz w:val="14"/>
                <w:szCs w:val="18"/>
              </w:rPr>
            </w:pPr>
            <w:r>
              <w:rPr>
                <w:sz w:val="14"/>
                <w:szCs w:val="18"/>
              </w:rPr>
              <w:t>Otro si 2</w:t>
            </w:r>
          </w:p>
        </w:tc>
        <w:tc>
          <w:tcPr>
            <w:tcW w:w="227" w:type="dxa"/>
            <w:tcBorders>
              <w:top w:val="nil"/>
              <w:bottom w:val="nil"/>
            </w:tcBorders>
            <w:shd w:val="clear" w:color="auto" w:fill="auto"/>
          </w:tcPr>
          <w:p w14:paraId="63DEDCA9" w14:textId="77777777" w:rsidR="008F5741" w:rsidRPr="00831E8F" w:rsidRDefault="008F5741" w:rsidP="008F5741">
            <w:pPr>
              <w:rPr>
                <w:sz w:val="14"/>
                <w:szCs w:val="18"/>
              </w:rPr>
            </w:pPr>
          </w:p>
        </w:tc>
        <w:tc>
          <w:tcPr>
            <w:tcW w:w="1871" w:type="dxa"/>
            <w:vAlign w:val="center"/>
          </w:tcPr>
          <w:p w14:paraId="77C42AD7" w14:textId="77777777" w:rsidR="008F5741" w:rsidRPr="00A0631A" w:rsidRDefault="008F5741" w:rsidP="008F5741">
            <w:pPr>
              <w:rPr>
                <w:sz w:val="16"/>
                <w:szCs w:val="18"/>
              </w:rPr>
            </w:pPr>
            <w:r w:rsidRPr="00A0631A">
              <w:rPr>
                <w:sz w:val="16"/>
                <w:szCs w:val="18"/>
              </w:rPr>
              <w:t>15/01/2018</w:t>
            </w:r>
          </w:p>
        </w:tc>
        <w:tc>
          <w:tcPr>
            <w:tcW w:w="227" w:type="dxa"/>
            <w:tcBorders>
              <w:top w:val="nil"/>
              <w:bottom w:val="nil"/>
            </w:tcBorders>
            <w:vAlign w:val="center"/>
          </w:tcPr>
          <w:p w14:paraId="3BAC6614" w14:textId="77777777" w:rsidR="008F5741" w:rsidRPr="00A0631A" w:rsidRDefault="008F5741" w:rsidP="008F5741">
            <w:pPr>
              <w:rPr>
                <w:sz w:val="18"/>
              </w:rPr>
            </w:pPr>
          </w:p>
        </w:tc>
        <w:tc>
          <w:tcPr>
            <w:tcW w:w="1871" w:type="dxa"/>
            <w:vAlign w:val="center"/>
          </w:tcPr>
          <w:p w14:paraId="5FD4DD5D" w14:textId="77777777" w:rsidR="008F5741" w:rsidRPr="00A0631A" w:rsidRDefault="008F5741" w:rsidP="008F5741">
            <w:pPr>
              <w:rPr>
                <w:sz w:val="16"/>
                <w:szCs w:val="16"/>
              </w:rPr>
            </w:pPr>
            <w:r w:rsidRPr="00A0631A">
              <w:rPr>
                <w:sz w:val="16"/>
                <w:szCs w:val="16"/>
              </w:rPr>
              <w:t>3/07/2018</w:t>
            </w:r>
          </w:p>
        </w:tc>
        <w:tc>
          <w:tcPr>
            <w:tcW w:w="236" w:type="dxa"/>
            <w:tcBorders>
              <w:top w:val="nil"/>
              <w:bottom w:val="nil"/>
            </w:tcBorders>
            <w:vAlign w:val="center"/>
          </w:tcPr>
          <w:p w14:paraId="043D194C" w14:textId="77777777" w:rsidR="008F5741" w:rsidRPr="00A0631A" w:rsidRDefault="008F5741" w:rsidP="008F5741">
            <w:pPr>
              <w:rPr>
                <w:sz w:val="18"/>
              </w:rPr>
            </w:pPr>
          </w:p>
        </w:tc>
        <w:tc>
          <w:tcPr>
            <w:tcW w:w="1862" w:type="dxa"/>
            <w:shd w:val="clear" w:color="auto" w:fill="auto"/>
            <w:vAlign w:val="center"/>
          </w:tcPr>
          <w:p w14:paraId="37002A4A" w14:textId="77777777" w:rsidR="008F5741" w:rsidRPr="00A0631A" w:rsidRDefault="008F5741" w:rsidP="008F5741">
            <w:pPr>
              <w:rPr>
                <w:sz w:val="16"/>
                <w:szCs w:val="16"/>
              </w:rPr>
            </w:pPr>
            <w:r w:rsidRPr="00A0631A">
              <w:rPr>
                <w:sz w:val="16"/>
                <w:szCs w:val="16"/>
              </w:rPr>
              <w:t>N/A</w:t>
            </w:r>
          </w:p>
        </w:tc>
        <w:tc>
          <w:tcPr>
            <w:tcW w:w="236" w:type="dxa"/>
            <w:tcBorders>
              <w:top w:val="nil"/>
              <w:bottom w:val="nil"/>
            </w:tcBorders>
            <w:vAlign w:val="center"/>
          </w:tcPr>
          <w:p w14:paraId="1C631CC5" w14:textId="77777777" w:rsidR="008F5741" w:rsidRPr="00A0631A" w:rsidRDefault="008F5741" w:rsidP="008F5741">
            <w:pPr>
              <w:rPr>
                <w:sz w:val="18"/>
              </w:rPr>
            </w:pPr>
          </w:p>
        </w:tc>
        <w:tc>
          <w:tcPr>
            <w:tcW w:w="1862" w:type="dxa"/>
            <w:vAlign w:val="center"/>
          </w:tcPr>
          <w:p w14:paraId="21537AC6" w14:textId="77777777" w:rsidR="008F5741" w:rsidRPr="00A0631A" w:rsidRDefault="008F5741" w:rsidP="008F5741">
            <w:pPr>
              <w:rPr>
                <w:sz w:val="16"/>
                <w:szCs w:val="16"/>
              </w:rPr>
            </w:pPr>
            <w:r w:rsidRPr="00A0631A">
              <w:rPr>
                <w:sz w:val="16"/>
                <w:szCs w:val="16"/>
              </w:rPr>
              <w:t>15/01/2018</w:t>
            </w:r>
          </w:p>
        </w:tc>
      </w:tr>
      <w:tr w:rsidR="008F5741" w14:paraId="27FD0452" w14:textId="77777777" w:rsidTr="008F5741">
        <w:trPr>
          <w:trHeight w:val="283"/>
          <w:jc w:val="center"/>
        </w:trPr>
        <w:tc>
          <w:tcPr>
            <w:tcW w:w="1002" w:type="dxa"/>
            <w:vAlign w:val="center"/>
          </w:tcPr>
          <w:p w14:paraId="17E0F5CE" w14:textId="77777777" w:rsidR="008F5741" w:rsidRPr="00831E8F" w:rsidRDefault="008F5741" w:rsidP="008F5741">
            <w:pPr>
              <w:rPr>
                <w:sz w:val="14"/>
                <w:szCs w:val="18"/>
              </w:rPr>
            </w:pPr>
            <w:r>
              <w:rPr>
                <w:sz w:val="14"/>
                <w:szCs w:val="18"/>
              </w:rPr>
              <w:t>Otro si 3</w:t>
            </w:r>
          </w:p>
        </w:tc>
        <w:tc>
          <w:tcPr>
            <w:tcW w:w="227" w:type="dxa"/>
            <w:tcBorders>
              <w:top w:val="nil"/>
              <w:bottom w:val="nil"/>
            </w:tcBorders>
            <w:shd w:val="clear" w:color="auto" w:fill="auto"/>
          </w:tcPr>
          <w:p w14:paraId="2C42A79E" w14:textId="77777777" w:rsidR="008F5741" w:rsidRPr="00831E8F" w:rsidRDefault="008F5741" w:rsidP="008F5741">
            <w:pPr>
              <w:rPr>
                <w:sz w:val="14"/>
                <w:szCs w:val="18"/>
              </w:rPr>
            </w:pPr>
          </w:p>
        </w:tc>
        <w:tc>
          <w:tcPr>
            <w:tcW w:w="1871" w:type="dxa"/>
            <w:vAlign w:val="center"/>
          </w:tcPr>
          <w:p w14:paraId="142532B1" w14:textId="77777777" w:rsidR="008F5741" w:rsidRPr="00A0631A" w:rsidRDefault="008F5741" w:rsidP="008F5741">
            <w:pPr>
              <w:rPr>
                <w:sz w:val="16"/>
                <w:szCs w:val="18"/>
              </w:rPr>
            </w:pPr>
            <w:r w:rsidRPr="00A0631A">
              <w:rPr>
                <w:sz w:val="16"/>
                <w:szCs w:val="16"/>
              </w:rPr>
              <w:t>3/07/2018</w:t>
            </w:r>
          </w:p>
        </w:tc>
        <w:tc>
          <w:tcPr>
            <w:tcW w:w="227" w:type="dxa"/>
            <w:tcBorders>
              <w:top w:val="nil"/>
              <w:bottom w:val="nil"/>
            </w:tcBorders>
            <w:vAlign w:val="center"/>
          </w:tcPr>
          <w:p w14:paraId="72165F0E" w14:textId="77777777" w:rsidR="008F5741" w:rsidRPr="00A0631A" w:rsidRDefault="008F5741" w:rsidP="008F5741">
            <w:pPr>
              <w:rPr>
                <w:sz w:val="18"/>
              </w:rPr>
            </w:pPr>
          </w:p>
        </w:tc>
        <w:tc>
          <w:tcPr>
            <w:tcW w:w="1871" w:type="dxa"/>
            <w:vAlign w:val="center"/>
          </w:tcPr>
          <w:p w14:paraId="5F49831C" w14:textId="77777777" w:rsidR="008F5741" w:rsidRPr="00A0631A" w:rsidRDefault="008F5741" w:rsidP="008F5741">
            <w:pPr>
              <w:rPr>
                <w:sz w:val="16"/>
                <w:szCs w:val="16"/>
              </w:rPr>
            </w:pPr>
            <w:r w:rsidRPr="00A0631A">
              <w:rPr>
                <w:sz w:val="16"/>
                <w:szCs w:val="16"/>
              </w:rPr>
              <w:t>-</w:t>
            </w:r>
          </w:p>
        </w:tc>
        <w:tc>
          <w:tcPr>
            <w:tcW w:w="236" w:type="dxa"/>
            <w:tcBorders>
              <w:top w:val="nil"/>
              <w:bottom w:val="nil"/>
            </w:tcBorders>
            <w:vAlign w:val="center"/>
          </w:tcPr>
          <w:p w14:paraId="2237C016" w14:textId="77777777" w:rsidR="008F5741" w:rsidRPr="00A0631A" w:rsidRDefault="008F5741" w:rsidP="008F5741">
            <w:pPr>
              <w:rPr>
                <w:sz w:val="18"/>
              </w:rPr>
            </w:pPr>
          </w:p>
        </w:tc>
        <w:tc>
          <w:tcPr>
            <w:tcW w:w="1862" w:type="dxa"/>
            <w:shd w:val="clear" w:color="auto" w:fill="auto"/>
            <w:vAlign w:val="center"/>
          </w:tcPr>
          <w:p w14:paraId="4FD0C995" w14:textId="77777777" w:rsidR="008F5741" w:rsidRPr="00A0631A" w:rsidRDefault="008F5741" w:rsidP="008F5741">
            <w:pPr>
              <w:rPr>
                <w:sz w:val="16"/>
                <w:szCs w:val="16"/>
              </w:rPr>
            </w:pPr>
            <w:r w:rsidRPr="00A0631A">
              <w:rPr>
                <w:sz w:val="16"/>
                <w:szCs w:val="16"/>
              </w:rPr>
              <w:t>N/A</w:t>
            </w:r>
          </w:p>
        </w:tc>
        <w:tc>
          <w:tcPr>
            <w:tcW w:w="236" w:type="dxa"/>
            <w:tcBorders>
              <w:top w:val="nil"/>
              <w:bottom w:val="nil"/>
            </w:tcBorders>
            <w:vAlign w:val="center"/>
          </w:tcPr>
          <w:p w14:paraId="17D23ECF" w14:textId="77777777" w:rsidR="008F5741" w:rsidRPr="00A0631A" w:rsidRDefault="008F5741" w:rsidP="008F5741">
            <w:pPr>
              <w:rPr>
                <w:sz w:val="18"/>
              </w:rPr>
            </w:pPr>
          </w:p>
        </w:tc>
        <w:tc>
          <w:tcPr>
            <w:tcW w:w="1862" w:type="dxa"/>
            <w:vAlign w:val="center"/>
          </w:tcPr>
          <w:p w14:paraId="77C05154" w14:textId="77777777" w:rsidR="008F5741" w:rsidRPr="00A0631A" w:rsidRDefault="008F5741" w:rsidP="008F5741">
            <w:pPr>
              <w:rPr>
                <w:sz w:val="16"/>
                <w:szCs w:val="16"/>
              </w:rPr>
            </w:pPr>
            <w:r w:rsidRPr="00A0631A">
              <w:rPr>
                <w:sz w:val="16"/>
                <w:szCs w:val="16"/>
              </w:rPr>
              <w:t>21/05/2018</w:t>
            </w:r>
          </w:p>
        </w:tc>
      </w:tr>
      <w:tr w:rsidR="008F5741" w14:paraId="7B8A5442" w14:textId="77777777" w:rsidTr="008F5741">
        <w:trPr>
          <w:trHeight w:val="283"/>
          <w:jc w:val="center"/>
        </w:trPr>
        <w:tc>
          <w:tcPr>
            <w:tcW w:w="1002" w:type="dxa"/>
            <w:vAlign w:val="center"/>
          </w:tcPr>
          <w:p w14:paraId="309B7A8F" w14:textId="77777777" w:rsidR="008F5741" w:rsidRDefault="008F5741" w:rsidP="008F5741">
            <w:pPr>
              <w:rPr>
                <w:sz w:val="14"/>
                <w:szCs w:val="18"/>
              </w:rPr>
            </w:pPr>
            <w:r>
              <w:rPr>
                <w:sz w:val="14"/>
                <w:szCs w:val="18"/>
              </w:rPr>
              <w:t>Otro si 4</w:t>
            </w:r>
          </w:p>
        </w:tc>
        <w:tc>
          <w:tcPr>
            <w:tcW w:w="227" w:type="dxa"/>
            <w:tcBorders>
              <w:top w:val="nil"/>
              <w:bottom w:val="nil"/>
            </w:tcBorders>
            <w:shd w:val="clear" w:color="auto" w:fill="auto"/>
          </w:tcPr>
          <w:p w14:paraId="57B97F56" w14:textId="77777777" w:rsidR="008F5741" w:rsidRPr="00831E8F" w:rsidRDefault="008F5741" w:rsidP="008F5741">
            <w:pPr>
              <w:rPr>
                <w:sz w:val="14"/>
                <w:szCs w:val="18"/>
              </w:rPr>
            </w:pPr>
          </w:p>
        </w:tc>
        <w:tc>
          <w:tcPr>
            <w:tcW w:w="1871" w:type="dxa"/>
            <w:vAlign w:val="center"/>
          </w:tcPr>
          <w:p w14:paraId="0256F9B6" w14:textId="77777777" w:rsidR="008F5741" w:rsidRPr="00A0631A" w:rsidRDefault="008F5741" w:rsidP="008F5741">
            <w:pPr>
              <w:rPr>
                <w:sz w:val="16"/>
                <w:szCs w:val="18"/>
              </w:rPr>
            </w:pPr>
            <w:r w:rsidRPr="00A0631A">
              <w:rPr>
                <w:sz w:val="16"/>
                <w:szCs w:val="18"/>
              </w:rPr>
              <w:t>-</w:t>
            </w:r>
          </w:p>
        </w:tc>
        <w:tc>
          <w:tcPr>
            <w:tcW w:w="227" w:type="dxa"/>
            <w:tcBorders>
              <w:top w:val="nil"/>
              <w:bottom w:val="nil"/>
            </w:tcBorders>
            <w:vAlign w:val="center"/>
          </w:tcPr>
          <w:p w14:paraId="5DB66B12" w14:textId="77777777" w:rsidR="008F5741" w:rsidRPr="00A0631A" w:rsidRDefault="008F5741" w:rsidP="008F5741">
            <w:pPr>
              <w:rPr>
                <w:sz w:val="18"/>
              </w:rPr>
            </w:pPr>
          </w:p>
        </w:tc>
        <w:tc>
          <w:tcPr>
            <w:tcW w:w="1871" w:type="dxa"/>
            <w:vAlign w:val="center"/>
          </w:tcPr>
          <w:p w14:paraId="3A3674F9" w14:textId="77777777" w:rsidR="008F5741" w:rsidRPr="00A0631A" w:rsidRDefault="008F5741" w:rsidP="008F5741">
            <w:pPr>
              <w:rPr>
                <w:sz w:val="16"/>
                <w:szCs w:val="16"/>
              </w:rPr>
            </w:pPr>
            <w:r w:rsidRPr="00A0631A">
              <w:rPr>
                <w:sz w:val="16"/>
                <w:szCs w:val="16"/>
              </w:rPr>
              <w:t>-</w:t>
            </w:r>
          </w:p>
        </w:tc>
        <w:tc>
          <w:tcPr>
            <w:tcW w:w="236" w:type="dxa"/>
            <w:tcBorders>
              <w:top w:val="nil"/>
              <w:bottom w:val="nil"/>
            </w:tcBorders>
            <w:vAlign w:val="center"/>
          </w:tcPr>
          <w:p w14:paraId="5632405C" w14:textId="77777777" w:rsidR="008F5741" w:rsidRPr="00A0631A" w:rsidRDefault="008F5741" w:rsidP="008F5741">
            <w:pPr>
              <w:rPr>
                <w:sz w:val="18"/>
              </w:rPr>
            </w:pPr>
          </w:p>
        </w:tc>
        <w:tc>
          <w:tcPr>
            <w:tcW w:w="1862" w:type="dxa"/>
            <w:shd w:val="clear" w:color="auto" w:fill="auto"/>
            <w:vAlign w:val="center"/>
          </w:tcPr>
          <w:p w14:paraId="60DBE356" w14:textId="77777777" w:rsidR="008F5741" w:rsidRPr="00A0631A" w:rsidRDefault="008F5741" w:rsidP="008F5741">
            <w:pPr>
              <w:rPr>
                <w:sz w:val="16"/>
                <w:szCs w:val="16"/>
              </w:rPr>
            </w:pPr>
            <w:r w:rsidRPr="00A0631A">
              <w:rPr>
                <w:sz w:val="16"/>
                <w:szCs w:val="16"/>
              </w:rPr>
              <w:t>N/A</w:t>
            </w:r>
          </w:p>
        </w:tc>
        <w:tc>
          <w:tcPr>
            <w:tcW w:w="236" w:type="dxa"/>
            <w:tcBorders>
              <w:top w:val="nil"/>
              <w:bottom w:val="nil"/>
            </w:tcBorders>
            <w:vAlign w:val="center"/>
          </w:tcPr>
          <w:p w14:paraId="6EAD32E1" w14:textId="77777777" w:rsidR="008F5741" w:rsidRPr="00A0631A" w:rsidRDefault="008F5741" w:rsidP="008F5741">
            <w:pPr>
              <w:rPr>
                <w:sz w:val="18"/>
              </w:rPr>
            </w:pPr>
          </w:p>
        </w:tc>
        <w:tc>
          <w:tcPr>
            <w:tcW w:w="1862" w:type="dxa"/>
            <w:vAlign w:val="center"/>
          </w:tcPr>
          <w:p w14:paraId="0585DD60" w14:textId="77777777" w:rsidR="008F5741" w:rsidRPr="00A0631A" w:rsidRDefault="008F5741" w:rsidP="008F5741">
            <w:pPr>
              <w:rPr>
                <w:sz w:val="16"/>
                <w:szCs w:val="16"/>
              </w:rPr>
            </w:pPr>
            <w:r w:rsidRPr="00A0631A">
              <w:rPr>
                <w:sz w:val="16"/>
                <w:szCs w:val="16"/>
              </w:rPr>
              <w:t>24/05/2018</w:t>
            </w:r>
          </w:p>
        </w:tc>
      </w:tr>
      <w:tr w:rsidR="008F5741" w14:paraId="5B640B4E" w14:textId="77777777" w:rsidTr="008F5741">
        <w:trPr>
          <w:trHeight w:val="283"/>
          <w:jc w:val="center"/>
        </w:trPr>
        <w:tc>
          <w:tcPr>
            <w:tcW w:w="1002" w:type="dxa"/>
            <w:vAlign w:val="center"/>
          </w:tcPr>
          <w:p w14:paraId="04CF6483" w14:textId="77777777" w:rsidR="008F5741" w:rsidRDefault="008F5741" w:rsidP="008F5741">
            <w:pPr>
              <w:rPr>
                <w:sz w:val="14"/>
                <w:szCs w:val="18"/>
              </w:rPr>
            </w:pPr>
            <w:r>
              <w:rPr>
                <w:sz w:val="14"/>
                <w:szCs w:val="18"/>
              </w:rPr>
              <w:t>Otro si 5</w:t>
            </w:r>
          </w:p>
        </w:tc>
        <w:tc>
          <w:tcPr>
            <w:tcW w:w="227" w:type="dxa"/>
            <w:tcBorders>
              <w:top w:val="nil"/>
              <w:bottom w:val="nil"/>
            </w:tcBorders>
            <w:shd w:val="clear" w:color="auto" w:fill="auto"/>
          </w:tcPr>
          <w:p w14:paraId="234FA4DF" w14:textId="77777777" w:rsidR="008F5741" w:rsidRPr="00831E8F" w:rsidRDefault="008F5741" w:rsidP="008F5741">
            <w:pPr>
              <w:rPr>
                <w:sz w:val="14"/>
                <w:szCs w:val="18"/>
              </w:rPr>
            </w:pPr>
          </w:p>
        </w:tc>
        <w:tc>
          <w:tcPr>
            <w:tcW w:w="1871" w:type="dxa"/>
            <w:vAlign w:val="center"/>
          </w:tcPr>
          <w:p w14:paraId="4174CA17" w14:textId="77777777" w:rsidR="008F5741" w:rsidRPr="00A0631A" w:rsidRDefault="008F5741" w:rsidP="008F5741">
            <w:pPr>
              <w:rPr>
                <w:sz w:val="16"/>
                <w:szCs w:val="18"/>
              </w:rPr>
            </w:pPr>
            <w:r>
              <w:rPr>
                <w:sz w:val="16"/>
                <w:szCs w:val="18"/>
              </w:rPr>
              <w:t>-</w:t>
            </w:r>
          </w:p>
        </w:tc>
        <w:tc>
          <w:tcPr>
            <w:tcW w:w="227" w:type="dxa"/>
            <w:tcBorders>
              <w:top w:val="nil"/>
              <w:bottom w:val="nil"/>
            </w:tcBorders>
            <w:vAlign w:val="center"/>
          </w:tcPr>
          <w:p w14:paraId="3879AE58" w14:textId="77777777" w:rsidR="008F5741" w:rsidRPr="00A0631A" w:rsidRDefault="008F5741" w:rsidP="008F5741">
            <w:pPr>
              <w:rPr>
                <w:sz w:val="18"/>
              </w:rPr>
            </w:pPr>
          </w:p>
        </w:tc>
        <w:tc>
          <w:tcPr>
            <w:tcW w:w="1871" w:type="dxa"/>
            <w:vAlign w:val="center"/>
          </w:tcPr>
          <w:p w14:paraId="2F224594" w14:textId="77777777" w:rsidR="008F5741" w:rsidRPr="00A0631A" w:rsidRDefault="008F5741" w:rsidP="008F5741">
            <w:pPr>
              <w:rPr>
                <w:sz w:val="16"/>
                <w:szCs w:val="16"/>
              </w:rPr>
            </w:pPr>
            <w:r>
              <w:rPr>
                <w:sz w:val="16"/>
                <w:szCs w:val="16"/>
              </w:rPr>
              <w:t>-</w:t>
            </w:r>
          </w:p>
        </w:tc>
        <w:tc>
          <w:tcPr>
            <w:tcW w:w="236" w:type="dxa"/>
            <w:tcBorders>
              <w:top w:val="nil"/>
              <w:bottom w:val="nil"/>
            </w:tcBorders>
            <w:vAlign w:val="center"/>
          </w:tcPr>
          <w:p w14:paraId="50D40FEA" w14:textId="77777777" w:rsidR="008F5741" w:rsidRPr="00A0631A" w:rsidRDefault="008F5741" w:rsidP="008F5741">
            <w:pPr>
              <w:rPr>
                <w:sz w:val="18"/>
              </w:rPr>
            </w:pPr>
          </w:p>
        </w:tc>
        <w:tc>
          <w:tcPr>
            <w:tcW w:w="1862" w:type="dxa"/>
            <w:shd w:val="clear" w:color="auto" w:fill="auto"/>
            <w:vAlign w:val="center"/>
          </w:tcPr>
          <w:p w14:paraId="727352FB" w14:textId="77777777" w:rsidR="008F5741" w:rsidRPr="00A0631A" w:rsidRDefault="008F5741" w:rsidP="008F5741">
            <w:pPr>
              <w:rPr>
                <w:sz w:val="16"/>
                <w:szCs w:val="16"/>
              </w:rPr>
            </w:pPr>
            <w:r>
              <w:rPr>
                <w:sz w:val="16"/>
                <w:szCs w:val="16"/>
              </w:rPr>
              <w:t>-</w:t>
            </w:r>
          </w:p>
        </w:tc>
        <w:tc>
          <w:tcPr>
            <w:tcW w:w="236" w:type="dxa"/>
            <w:tcBorders>
              <w:top w:val="nil"/>
              <w:bottom w:val="nil"/>
            </w:tcBorders>
            <w:vAlign w:val="center"/>
          </w:tcPr>
          <w:p w14:paraId="4D435241" w14:textId="77777777" w:rsidR="008F5741" w:rsidRPr="00A0631A" w:rsidRDefault="008F5741" w:rsidP="008F5741">
            <w:pPr>
              <w:rPr>
                <w:sz w:val="18"/>
              </w:rPr>
            </w:pPr>
          </w:p>
        </w:tc>
        <w:tc>
          <w:tcPr>
            <w:tcW w:w="1862" w:type="dxa"/>
            <w:vAlign w:val="center"/>
          </w:tcPr>
          <w:p w14:paraId="2AB7772F" w14:textId="77777777" w:rsidR="008F5741" w:rsidRPr="00A0631A" w:rsidRDefault="008F5741" w:rsidP="008F5741">
            <w:pPr>
              <w:rPr>
                <w:sz w:val="16"/>
                <w:szCs w:val="16"/>
              </w:rPr>
            </w:pPr>
            <w:r w:rsidRPr="00A0631A">
              <w:rPr>
                <w:sz w:val="16"/>
                <w:szCs w:val="16"/>
              </w:rPr>
              <w:t>03/07/2018</w:t>
            </w:r>
          </w:p>
        </w:tc>
      </w:tr>
    </w:tbl>
    <w:p w14:paraId="2812A93F" w14:textId="77777777" w:rsidR="008F5741" w:rsidRDefault="008F5741" w:rsidP="008F5741">
      <w:pPr>
        <w:rPr>
          <w:sz w:val="18"/>
        </w:rPr>
      </w:pPr>
    </w:p>
    <w:p w14:paraId="6EF39DAA" w14:textId="77777777" w:rsidR="008F5741" w:rsidRPr="003B4313" w:rsidRDefault="008F5741" w:rsidP="008F5741">
      <w:pPr>
        <w:jc w:val="both"/>
        <w:rPr>
          <w:sz w:val="22"/>
        </w:rPr>
      </w:pPr>
      <w:r w:rsidRPr="00E1445F">
        <w:rPr>
          <w:sz w:val="22"/>
        </w:rPr>
        <w:t>(*) El contrato de la Dirección Técnica finalizó el 18 de julio de 2018.</w:t>
      </w:r>
      <w:r w:rsidRPr="003B4313">
        <w:rPr>
          <w:sz w:val="22"/>
        </w:rPr>
        <w:t xml:space="preserve"> </w:t>
      </w:r>
    </w:p>
    <w:p w14:paraId="27A00C8D" w14:textId="77777777" w:rsidR="00AD6455" w:rsidRDefault="00AD6455" w:rsidP="008F5741">
      <w:pPr>
        <w:spacing w:after="160" w:line="259" w:lineRule="auto"/>
        <w:rPr>
          <w:sz w:val="18"/>
        </w:rPr>
      </w:pPr>
    </w:p>
    <w:p w14:paraId="49622856" w14:textId="77777777" w:rsidR="008F5741" w:rsidRDefault="008F5741" w:rsidP="00AD6455">
      <w:pPr>
        <w:spacing w:line="259" w:lineRule="auto"/>
        <w:rPr>
          <w:sz w:val="22"/>
        </w:rPr>
      </w:pPr>
      <w:r w:rsidRPr="00EB3DF9">
        <w:rPr>
          <w:sz w:val="22"/>
        </w:rPr>
        <w:lastRenderedPageBreak/>
        <w:t xml:space="preserve">De acuerdo con el cuadro anterior, se realizan las siguientes anotaciones en cuanto al empalme </w:t>
      </w:r>
      <w:r>
        <w:rPr>
          <w:sz w:val="22"/>
        </w:rPr>
        <w:t>d</w:t>
      </w:r>
      <w:r w:rsidRPr="00EB3DF9">
        <w:rPr>
          <w:sz w:val="22"/>
        </w:rPr>
        <w:t>el rol de interventoría:</w:t>
      </w:r>
    </w:p>
    <w:p w14:paraId="55B2593C" w14:textId="77777777" w:rsidR="008F5741" w:rsidRPr="0072127D" w:rsidRDefault="008F5741" w:rsidP="008F5741">
      <w:pPr>
        <w:ind w:left="426" w:hanging="284"/>
        <w:jc w:val="both"/>
        <w:rPr>
          <w:sz w:val="18"/>
        </w:rPr>
      </w:pPr>
    </w:p>
    <w:p w14:paraId="36164583" w14:textId="77777777" w:rsidR="008F5741" w:rsidRPr="008908F3" w:rsidRDefault="008F5741" w:rsidP="008F5741">
      <w:pPr>
        <w:pStyle w:val="Prrafodelista"/>
        <w:numPr>
          <w:ilvl w:val="0"/>
          <w:numId w:val="39"/>
        </w:numPr>
        <w:ind w:left="426" w:hanging="284"/>
        <w:jc w:val="both"/>
        <w:rPr>
          <w:sz w:val="22"/>
        </w:rPr>
      </w:pPr>
      <w:r w:rsidRPr="008908F3">
        <w:rPr>
          <w:sz w:val="22"/>
        </w:rPr>
        <w:t>La interventora Ana María Gutiérrez estuvo vinculada a la Universidad como profesional temporal 8</w:t>
      </w:r>
      <w:r>
        <w:rPr>
          <w:sz w:val="22"/>
        </w:rPr>
        <w:t>,</w:t>
      </w:r>
      <w:r w:rsidRPr="008908F3">
        <w:rPr>
          <w:sz w:val="22"/>
        </w:rPr>
        <w:t xml:space="preserve"> hasta el 30 de junio de 2018. </w:t>
      </w:r>
    </w:p>
    <w:p w14:paraId="0F758FF4" w14:textId="77777777" w:rsidR="008F5741" w:rsidRPr="008908F3" w:rsidRDefault="008F5741" w:rsidP="008F5741">
      <w:pPr>
        <w:ind w:left="426" w:hanging="284"/>
        <w:jc w:val="both"/>
        <w:rPr>
          <w:sz w:val="18"/>
        </w:rPr>
      </w:pPr>
    </w:p>
    <w:p w14:paraId="2C20438E" w14:textId="0D8ECE74" w:rsidR="008F5741" w:rsidRPr="008908F3" w:rsidRDefault="008F5741" w:rsidP="008F5741">
      <w:pPr>
        <w:pStyle w:val="Prrafodelista"/>
        <w:numPr>
          <w:ilvl w:val="0"/>
          <w:numId w:val="39"/>
        </w:numPr>
        <w:ind w:left="426" w:hanging="284"/>
        <w:jc w:val="both"/>
        <w:rPr>
          <w:sz w:val="22"/>
        </w:rPr>
      </w:pPr>
      <w:r w:rsidRPr="008908F3">
        <w:rPr>
          <w:sz w:val="22"/>
        </w:rPr>
        <w:t xml:space="preserve">El documento de entrega del cargo del 30 de junio firmada </w:t>
      </w:r>
      <w:r>
        <w:rPr>
          <w:sz w:val="22"/>
        </w:rPr>
        <w:t>con</w:t>
      </w:r>
      <w:r w:rsidRPr="008908F3">
        <w:rPr>
          <w:sz w:val="22"/>
        </w:rPr>
        <w:t xml:space="preserve"> la </w:t>
      </w:r>
      <w:r w:rsidRPr="00CE369A">
        <w:rPr>
          <w:sz w:val="22"/>
        </w:rPr>
        <w:t>directora</w:t>
      </w:r>
      <w:r w:rsidRPr="008908F3">
        <w:rPr>
          <w:sz w:val="22"/>
        </w:rPr>
        <w:t xml:space="preserve"> del </w:t>
      </w:r>
      <w:r w:rsidR="00043DFF" w:rsidRPr="008908F3">
        <w:rPr>
          <w:sz w:val="22"/>
        </w:rPr>
        <w:t>proyecto</w:t>
      </w:r>
      <w:r w:rsidRPr="008908F3">
        <w:rPr>
          <w:sz w:val="22"/>
        </w:rPr>
        <w:t xml:space="preserve"> relaciona el listado de la información y el estado de las gestiones </w:t>
      </w:r>
      <w:r>
        <w:rPr>
          <w:sz w:val="22"/>
        </w:rPr>
        <w:t>en la</w:t>
      </w:r>
      <w:r w:rsidRPr="008908F3">
        <w:rPr>
          <w:sz w:val="22"/>
        </w:rPr>
        <w:t xml:space="preserve"> entrega del cargo. El documento relaciona la información documental y administrativa</w:t>
      </w:r>
      <w:r>
        <w:rPr>
          <w:sz w:val="22"/>
        </w:rPr>
        <w:t>;</w:t>
      </w:r>
      <w:r w:rsidRPr="008908F3">
        <w:rPr>
          <w:sz w:val="22"/>
        </w:rPr>
        <w:t xml:space="preserve"> </w:t>
      </w:r>
      <w:r>
        <w:rPr>
          <w:sz w:val="22"/>
        </w:rPr>
        <w:t>así mismo, los</w:t>
      </w:r>
      <w:r w:rsidRPr="008908F3">
        <w:rPr>
          <w:sz w:val="22"/>
        </w:rPr>
        <w:t xml:space="preserve"> aspectos pendientes por tramitar</w:t>
      </w:r>
      <w:r>
        <w:rPr>
          <w:sz w:val="22"/>
        </w:rPr>
        <w:t>;</w:t>
      </w:r>
      <w:r w:rsidRPr="008908F3">
        <w:rPr>
          <w:sz w:val="22"/>
        </w:rPr>
        <w:t xml:space="preserve"> </w:t>
      </w:r>
      <w:r>
        <w:rPr>
          <w:sz w:val="22"/>
        </w:rPr>
        <w:t>s</w:t>
      </w:r>
      <w:r w:rsidRPr="008908F3">
        <w:rPr>
          <w:sz w:val="22"/>
        </w:rPr>
        <w:t xml:space="preserve">in embargo, se observa información </w:t>
      </w:r>
      <w:r>
        <w:rPr>
          <w:sz w:val="22"/>
        </w:rPr>
        <w:t xml:space="preserve">general, </w:t>
      </w:r>
      <w:r w:rsidRPr="008908F3">
        <w:rPr>
          <w:sz w:val="22"/>
        </w:rPr>
        <w:t>no detalla aspectos técnicos de la interventoría.</w:t>
      </w:r>
    </w:p>
    <w:p w14:paraId="6CCC761A" w14:textId="77777777" w:rsidR="008F5741" w:rsidRPr="008908F3" w:rsidRDefault="008F5741" w:rsidP="008F5741">
      <w:pPr>
        <w:ind w:left="426" w:hanging="284"/>
        <w:jc w:val="both"/>
        <w:rPr>
          <w:sz w:val="18"/>
        </w:rPr>
      </w:pPr>
    </w:p>
    <w:p w14:paraId="7ADBA346" w14:textId="77777777" w:rsidR="008F5741" w:rsidRPr="008908F3" w:rsidRDefault="008F5741" w:rsidP="008F5741">
      <w:pPr>
        <w:pStyle w:val="Prrafodelista"/>
        <w:numPr>
          <w:ilvl w:val="0"/>
          <w:numId w:val="39"/>
        </w:numPr>
        <w:ind w:left="426" w:hanging="284"/>
        <w:jc w:val="both"/>
        <w:rPr>
          <w:b/>
          <w:sz w:val="22"/>
        </w:rPr>
      </w:pPr>
      <w:r>
        <w:rPr>
          <w:sz w:val="22"/>
        </w:rPr>
        <w:t xml:space="preserve">En </w:t>
      </w:r>
      <w:r w:rsidRPr="008908F3">
        <w:rPr>
          <w:sz w:val="22"/>
        </w:rPr>
        <w:t xml:space="preserve">documento </w:t>
      </w:r>
      <w:r w:rsidRPr="00F26C5D">
        <w:rPr>
          <w:sz w:val="22"/>
        </w:rPr>
        <w:t xml:space="preserve">suministrado por la </w:t>
      </w:r>
      <w:r w:rsidRPr="00C11CAE">
        <w:rPr>
          <w:sz w:val="22"/>
        </w:rPr>
        <w:t>directora</w:t>
      </w:r>
      <w:r w:rsidRPr="00F26C5D">
        <w:rPr>
          <w:sz w:val="22"/>
        </w:rPr>
        <w:t xml:space="preserve"> del proyecto</w:t>
      </w:r>
      <w:r>
        <w:rPr>
          <w:sz w:val="22"/>
        </w:rPr>
        <w:t xml:space="preserve">, fechado </w:t>
      </w:r>
      <w:r w:rsidRPr="002B1109">
        <w:rPr>
          <w:sz w:val="22"/>
        </w:rPr>
        <w:t>4 de julio de 2018</w:t>
      </w:r>
      <w:r>
        <w:rPr>
          <w:sz w:val="22"/>
        </w:rPr>
        <w:t xml:space="preserve"> detalla su</w:t>
      </w:r>
      <w:r w:rsidRPr="008908F3">
        <w:rPr>
          <w:sz w:val="22"/>
        </w:rPr>
        <w:t xml:space="preserve"> reunión de empalme </w:t>
      </w:r>
      <w:r>
        <w:rPr>
          <w:sz w:val="22"/>
        </w:rPr>
        <w:t>con</w:t>
      </w:r>
      <w:r w:rsidRPr="008908F3">
        <w:rPr>
          <w:sz w:val="22"/>
        </w:rPr>
        <w:t xml:space="preserve"> el Jefe de Infraestructura, designado </w:t>
      </w:r>
      <w:r>
        <w:rPr>
          <w:sz w:val="22"/>
        </w:rPr>
        <w:t xml:space="preserve">por el Vicerrector Administrativo </w:t>
      </w:r>
      <w:r w:rsidRPr="008908F3">
        <w:rPr>
          <w:sz w:val="22"/>
        </w:rPr>
        <w:t xml:space="preserve">como nuevo interventor </w:t>
      </w:r>
      <w:r>
        <w:rPr>
          <w:sz w:val="22"/>
        </w:rPr>
        <w:t>de</w:t>
      </w:r>
      <w:r w:rsidRPr="008908F3">
        <w:rPr>
          <w:sz w:val="22"/>
        </w:rPr>
        <w:t xml:space="preserve"> los contratos de la Dirección General, Gerencia </w:t>
      </w:r>
      <w:r>
        <w:rPr>
          <w:sz w:val="22"/>
        </w:rPr>
        <w:t>T</w:t>
      </w:r>
      <w:r w:rsidRPr="008908F3">
        <w:rPr>
          <w:sz w:val="22"/>
        </w:rPr>
        <w:t>écnica y el contrato de mandato con la CIS. E</w:t>
      </w:r>
      <w:r>
        <w:rPr>
          <w:sz w:val="22"/>
        </w:rPr>
        <w:t>l</w:t>
      </w:r>
      <w:r w:rsidRPr="008908F3">
        <w:rPr>
          <w:sz w:val="22"/>
        </w:rPr>
        <w:t xml:space="preserve"> documento presenta </w:t>
      </w:r>
      <w:r>
        <w:rPr>
          <w:sz w:val="22"/>
        </w:rPr>
        <w:t xml:space="preserve">el </w:t>
      </w:r>
      <w:r w:rsidRPr="008908F3">
        <w:rPr>
          <w:sz w:val="22"/>
        </w:rPr>
        <w:t>informe de las gestiones realizadas como interventora por parte de la Universidad.</w:t>
      </w:r>
    </w:p>
    <w:p w14:paraId="5713C0EB" w14:textId="77777777" w:rsidR="008F5741" w:rsidRPr="00FF02EC" w:rsidRDefault="008F5741" w:rsidP="008F5741">
      <w:pPr>
        <w:rPr>
          <w:sz w:val="22"/>
        </w:rPr>
      </w:pPr>
    </w:p>
    <w:p w14:paraId="54A5B002" w14:textId="77777777" w:rsidR="008F5741" w:rsidRDefault="008F5741" w:rsidP="008F5741">
      <w:pPr>
        <w:rPr>
          <w:b/>
          <w:color w:val="385623" w:themeColor="accent6" w:themeShade="80"/>
          <w:sz w:val="22"/>
        </w:rPr>
      </w:pPr>
      <w:r>
        <w:rPr>
          <w:b/>
          <w:color w:val="385623" w:themeColor="accent6" w:themeShade="80"/>
          <w:sz w:val="22"/>
        </w:rPr>
        <w:t>Observación</w:t>
      </w:r>
    </w:p>
    <w:p w14:paraId="735E1DE8" w14:textId="77777777" w:rsidR="008F5741" w:rsidRPr="002A46B7" w:rsidRDefault="008F5741" w:rsidP="008F5741">
      <w:pPr>
        <w:jc w:val="both"/>
        <w:rPr>
          <w:b/>
          <w:sz w:val="22"/>
        </w:rPr>
      </w:pPr>
      <w:r>
        <w:rPr>
          <w:sz w:val="22"/>
        </w:rPr>
        <w:t>El documento relacionado</w:t>
      </w:r>
      <w:r w:rsidRPr="002A46B7">
        <w:rPr>
          <w:sz w:val="22"/>
        </w:rPr>
        <w:t xml:space="preserve"> no detalla aspectos técnicos </w:t>
      </w:r>
      <w:r>
        <w:rPr>
          <w:sz w:val="22"/>
        </w:rPr>
        <w:t xml:space="preserve">y específicos </w:t>
      </w:r>
      <w:r w:rsidRPr="002A46B7">
        <w:rPr>
          <w:sz w:val="22"/>
        </w:rPr>
        <w:t>de la interventoría.</w:t>
      </w:r>
    </w:p>
    <w:p w14:paraId="7CAE3DAC" w14:textId="77777777" w:rsidR="008F5741" w:rsidRPr="00C54071" w:rsidRDefault="008F5741" w:rsidP="008F5741">
      <w:pPr>
        <w:rPr>
          <w:sz w:val="18"/>
        </w:rPr>
      </w:pPr>
    </w:p>
    <w:p w14:paraId="4380DB02" w14:textId="2F663517" w:rsidR="008F5741" w:rsidRDefault="008F5741" w:rsidP="008F5741">
      <w:pPr>
        <w:jc w:val="both"/>
        <w:rPr>
          <w:sz w:val="22"/>
          <w:szCs w:val="22"/>
        </w:rPr>
      </w:pPr>
      <w:r>
        <w:rPr>
          <w:sz w:val="22"/>
          <w:szCs w:val="22"/>
        </w:rPr>
        <w:t xml:space="preserve">Actualmente </w:t>
      </w:r>
      <w:r w:rsidRPr="00492627">
        <w:rPr>
          <w:sz w:val="22"/>
          <w:szCs w:val="22"/>
        </w:rPr>
        <w:t xml:space="preserve">el interventor </w:t>
      </w:r>
      <w:r>
        <w:rPr>
          <w:sz w:val="22"/>
        </w:rPr>
        <w:t>de</w:t>
      </w:r>
      <w:r w:rsidRPr="00646F19">
        <w:rPr>
          <w:sz w:val="22"/>
        </w:rPr>
        <w:t xml:space="preserve"> los contratos de la Dirección General, Gerencia </w:t>
      </w:r>
      <w:r>
        <w:rPr>
          <w:sz w:val="22"/>
        </w:rPr>
        <w:t>T</w:t>
      </w:r>
      <w:r w:rsidRPr="00646F19">
        <w:rPr>
          <w:sz w:val="22"/>
        </w:rPr>
        <w:t xml:space="preserve">écnica y el contrato de mandato con la </w:t>
      </w:r>
      <w:r w:rsidR="00633EA3" w:rsidRPr="00646F19">
        <w:rPr>
          <w:sz w:val="22"/>
        </w:rPr>
        <w:t>CIS</w:t>
      </w:r>
      <w:r w:rsidRPr="00492627">
        <w:rPr>
          <w:sz w:val="22"/>
          <w:szCs w:val="22"/>
        </w:rPr>
        <w:t xml:space="preserve"> es el Jefe de Infraestructura física</w:t>
      </w:r>
      <w:r>
        <w:rPr>
          <w:sz w:val="22"/>
          <w:szCs w:val="22"/>
        </w:rPr>
        <w:t xml:space="preserve">; es decir, concentra la interventoría de todos </w:t>
      </w:r>
      <w:r w:rsidRPr="00492627">
        <w:rPr>
          <w:sz w:val="22"/>
          <w:szCs w:val="22"/>
        </w:rPr>
        <w:t>los contratos</w:t>
      </w:r>
      <w:r>
        <w:rPr>
          <w:sz w:val="22"/>
          <w:szCs w:val="22"/>
        </w:rPr>
        <w:t xml:space="preserve"> relacionados</w:t>
      </w:r>
      <w:r w:rsidRPr="00492627">
        <w:rPr>
          <w:sz w:val="22"/>
          <w:szCs w:val="22"/>
        </w:rPr>
        <w:t xml:space="preserve">, excepto </w:t>
      </w:r>
      <w:r>
        <w:rPr>
          <w:sz w:val="22"/>
          <w:szCs w:val="22"/>
        </w:rPr>
        <w:t>el de</w:t>
      </w:r>
      <w:r w:rsidRPr="00492627">
        <w:rPr>
          <w:sz w:val="22"/>
          <w:szCs w:val="22"/>
        </w:rPr>
        <w:t xml:space="preserve"> la Dirección Académica</w:t>
      </w:r>
      <w:r>
        <w:rPr>
          <w:sz w:val="22"/>
          <w:szCs w:val="22"/>
        </w:rPr>
        <w:t>.</w:t>
      </w:r>
    </w:p>
    <w:p w14:paraId="415EA861" w14:textId="77777777" w:rsidR="008F5741" w:rsidRPr="00C54071" w:rsidRDefault="008F5741" w:rsidP="00FF02EC">
      <w:pPr>
        <w:jc w:val="both"/>
        <w:rPr>
          <w:sz w:val="18"/>
        </w:rPr>
      </w:pPr>
    </w:p>
    <w:p w14:paraId="676E641B" w14:textId="7F0F9163" w:rsidR="008F5741" w:rsidRDefault="008F5741" w:rsidP="008F5741">
      <w:pPr>
        <w:jc w:val="both"/>
        <w:rPr>
          <w:sz w:val="22"/>
        </w:rPr>
      </w:pPr>
      <w:r>
        <w:rPr>
          <w:sz w:val="22"/>
          <w:szCs w:val="22"/>
        </w:rPr>
        <w:t>De acuerdo con lo anterior, y en consideración a</w:t>
      </w:r>
      <w:r w:rsidRPr="00492627">
        <w:rPr>
          <w:sz w:val="22"/>
          <w:szCs w:val="22"/>
        </w:rPr>
        <w:t xml:space="preserve"> la magnitud y alcance de </w:t>
      </w:r>
      <w:r>
        <w:rPr>
          <w:sz w:val="22"/>
          <w:szCs w:val="22"/>
        </w:rPr>
        <w:t>cada</w:t>
      </w:r>
      <w:r w:rsidRPr="00492627">
        <w:rPr>
          <w:sz w:val="22"/>
          <w:szCs w:val="22"/>
        </w:rPr>
        <w:t xml:space="preserve"> contrato</w:t>
      </w:r>
      <w:r>
        <w:rPr>
          <w:sz w:val="22"/>
          <w:szCs w:val="22"/>
        </w:rPr>
        <w:t xml:space="preserve">, la concentración de </w:t>
      </w:r>
      <w:r w:rsidR="00633EA3">
        <w:rPr>
          <w:sz w:val="22"/>
          <w:szCs w:val="22"/>
        </w:rPr>
        <w:t>interventorías</w:t>
      </w:r>
      <w:r>
        <w:rPr>
          <w:sz w:val="22"/>
          <w:szCs w:val="22"/>
        </w:rPr>
        <w:t xml:space="preserve"> genera una </w:t>
      </w:r>
      <w:r>
        <w:rPr>
          <w:sz w:val="22"/>
        </w:rPr>
        <w:t>sobrecarga laboral para el funcionario, sin desconocer la idoneidad técnica, puede no disponer del tiempo suficiente requerido para el seguimiento a la fase del proyecto.</w:t>
      </w:r>
    </w:p>
    <w:p w14:paraId="11035BF8" w14:textId="77777777" w:rsidR="008F5741" w:rsidRPr="00B46084" w:rsidRDefault="008F5741" w:rsidP="00FF02EC">
      <w:pPr>
        <w:jc w:val="both"/>
        <w:rPr>
          <w:sz w:val="18"/>
        </w:rPr>
      </w:pPr>
    </w:p>
    <w:p w14:paraId="48EBEBBF" w14:textId="77777777" w:rsidR="008F5741" w:rsidRPr="0025773D" w:rsidRDefault="008F5741" w:rsidP="008F5741">
      <w:pPr>
        <w:jc w:val="both"/>
        <w:rPr>
          <w:sz w:val="22"/>
        </w:rPr>
      </w:pPr>
      <w:r>
        <w:rPr>
          <w:sz w:val="22"/>
        </w:rPr>
        <w:t xml:space="preserve">En general, se identifican debilidades en el </w:t>
      </w:r>
      <w:r w:rsidRPr="004B4979">
        <w:rPr>
          <w:sz w:val="22"/>
        </w:rPr>
        <w:t xml:space="preserve">empalme técnico </w:t>
      </w:r>
      <w:r>
        <w:rPr>
          <w:sz w:val="22"/>
        </w:rPr>
        <w:t xml:space="preserve">con el </w:t>
      </w:r>
      <w:r w:rsidRPr="004B4979">
        <w:rPr>
          <w:sz w:val="22"/>
        </w:rPr>
        <w:t xml:space="preserve">nuevo interventor del proyecto, </w:t>
      </w:r>
      <w:r>
        <w:rPr>
          <w:sz w:val="22"/>
        </w:rPr>
        <w:t>que pueden generar dificultades en el seguimiento y desarrollo del proyecto.</w:t>
      </w:r>
    </w:p>
    <w:p w14:paraId="1DBFD023" w14:textId="77777777" w:rsidR="008F5741" w:rsidRPr="00FF02EC" w:rsidRDefault="008F5741" w:rsidP="008F5741">
      <w:pPr>
        <w:rPr>
          <w:sz w:val="22"/>
        </w:rPr>
      </w:pPr>
    </w:p>
    <w:p w14:paraId="62A088B5" w14:textId="77777777" w:rsidR="008F5741" w:rsidRPr="00EB4203" w:rsidRDefault="008F5741" w:rsidP="008F5741">
      <w:pPr>
        <w:rPr>
          <w:b/>
          <w:color w:val="385623" w:themeColor="accent6" w:themeShade="80"/>
          <w:sz w:val="22"/>
        </w:rPr>
      </w:pPr>
      <w:r>
        <w:rPr>
          <w:b/>
          <w:color w:val="385623" w:themeColor="accent6" w:themeShade="80"/>
          <w:sz w:val="22"/>
        </w:rPr>
        <w:t>Riesgo</w:t>
      </w:r>
    </w:p>
    <w:p w14:paraId="43A97839" w14:textId="77777777" w:rsidR="008F5741" w:rsidRDefault="008F5741" w:rsidP="008F5741">
      <w:pPr>
        <w:pStyle w:val="Prrafodelista"/>
        <w:numPr>
          <w:ilvl w:val="0"/>
          <w:numId w:val="40"/>
        </w:numPr>
        <w:ind w:left="426" w:hanging="284"/>
        <w:jc w:val="both"/>
      </w:pPr>
      <w:r>
        <w:rPr>
          <w:sz w:val="22"/>
          <w:szCs w:val="22"/>
        </w:rPr>
        <w:t>Riesgo del proceso y riesgo técnico, por c</w:t>
      </w:r>
      <w:r w:rsidRPr="00B46084">
        <w:rPr>
          <w:sz w:val="22"/>
          <w:szCs w:val="22"/>
        </w:rPr>
        <w:t xml:space="preserve">oncentración </w:t>
      </w:r>
      <w:r w:rsidRPr="00194282">
        <w:rPr>
          <w:sz w:val="22"/>
          <w:szCs w:val="22"/>
        </w:rPr>
        <w:t>en una sola persona</w:t>
      </w:r>
      <w:r>
        <w:rPr>
          <w:sz w:val="22"/>
          <w:szCs w:val="22"/>
        </w:rPr>
        <w:t>,</w:t>
      </w:r>
      <w:r w:rsidRPr="00194282">
        <w:rPr>
          <w:sz w:val="22"/>
          <w:szCs w:val="22"/>
        </w:rPr>
        <w:t xml:space="preserve"> </w:t>
      </w:r>
      <w:r w:rsidRPr="00B46084">
        <w:rPr>
          <w:sz w:val="22"/>
          <w:szCs w:val="22"/>
        </w:rPr>
        <w:t xml:space="preserve">de interventorías </w:t>
      </w:r>
      <w:r>
        <w:rPr>
          <w:sz w:val="22"/>
          <w:szCs w:val="22"/>
        </w:rPr>
        <w:t>con</w:t>
      </w:r>
      <w:r w:rsidRPr="00B46084">
        <w:rPr>
          <w:sz w:val="22"/>
          <w:szCs w:val="22"/>
        </w:rPr>
        <w:t xml:space="preserve"> diferentes frentes</w:t>
      </w:r>
      <w:r>
        <w:rPr>
          <w:sz w:val="22"/>
          <w:szCs w:val="22"/>
        </w:rPr>
        <w:t>, especializaciones y</w:t>
      </w:r>
      <w:r w:rsidRPr="00B46084">
        <w:rPr>
          <w:sz w:val="22"/>
          <w:szCs w:val="22"/>
        </w:rPr>
        <w:t xml:space="preserve"> cumplimiento de funciones propias de cada rol</w:t>
      </w:r>
      <w:r>
        <w:rPr>
          <w:sz w:val="22"/>
          <w:szCs w:val="22"/>
        </w:rPr>
        <w:t>. L</w:t>
      </w:r>
      <w:r w:rsidRPr="00B46084">
        <w:rPr>
          <w:sz w:val="22"/>
          <w:szCs w:val="22"/>
        </w:rPr>
        <w:t xml:space="preserve">o anterior, </w:t>
      </w:r>
      <w:r>
        <w:rPr>
          <w:sz w:val="22"/>
          <w:szCs w:val="22"/>
        </w:rPr>
        <w:t xml:space="preserve">adicionado a </w:t>
      </w:r>
      <w:r w:rsidRPr="00B46084">
        <w:rPr>
          <w:sz w:val="22"/>
          <w:szCs w:val="22"/>
        </w:rPr>
        <w:t>su rol de jefe de infraestructura física.</w:t>
      </w:r>
    </w:p>
    <w:p w14:paraId="5775EED5" w14:textId="77777777" w:rsidR="008F5741" w:rsidRPr="00FF02EC" w:rsidRDefault="008F5741" w:rsidP="008F5741">
      <w:pPr>
        <w:rPr>
          <w:sz w:val="22"/>
        </w:rPr>
      </w:pPr>
    </w:p>
    <w:p w14:paraId="62585032" w14:textId="77777777" w:rsidR="008F5741" w:rsidRPr="00EB4203" w:rsidRDefault="008F5741" w:rsidP="008F5741">
      <w:pPr>
        <w:rPr>
          <w:b/>
          <w:color w:val="385623" w:themeColor="accent6" w:themeShade="80"/>
          <w:sz w:val="22"/>
        </w:rPr>
      </w:pPr>
      <w:r>
        <w:rPr>
          <w:b/>
          <w:color w:val="385623" w:themeColor="accent6" w:themeShade="80"/>
          <w:sz w:val="22"/>
        </w:rPr>
        <w:t>Recomendación</w:t>
      </w:r>
    </w:p>
    <w:p w14:paraId="710980CD" w14:textId="77777777" w:rsidR="008F5741" w:rsidRDefault="008F5741" w:rsidP="008F5741">
      <w:pPr>
        <w:pStyle w:val="Prrafodelista"/>
        <w:numPr>
          <w:ilvl w:val="0"/>
          <w:numId w:val="41"/>
        </w:numPr>
        <w:ind w:left="426" w:hanging="284"/>
        <w:jc w:val="both"/>
        <w:rPr>
          <w:sz w:val="22"/>
        </w:rPr>
      </w:pPr>
      <w:r w:rsidRPr="00B46084">
        <w:rPr>
          <w:sz w:val="22"/>
          <w:szCs w:val="22"/>
        </w:rPr>
        <w:t xml:space="preserve">Conformar un equipo técnico interventor con dedicación de </w:t>
      </w:r>
      <w:r w:rsidRPr="00B46084">
        <w:rPr>
          <w:sz w:val="22"/>
        </w:rPr>
        <w:t>tiempo completo</w:t>
      </w:r>
      <w:r>
        <w:rPr>
          <w:sz w:val="22"/>
        </w:rPr>
        <w:t>;</w:t>
      </w:r>
      <w:r w:rsidRPr="00B46084">
        <w:rPr>
          <w:sz w:val="22"/>
        </w:rPr>
        <w:t xml:space="preserve"> en caso de no ser posible</w:t>
      </w:r>
      <w:r>
        <w:rPr>
          <w:sz w:val="22"/>
        </w:rPr>
        <w:t xml:space="preserve"> financieramente</w:t>
      </w:r>
      <w:r w:rsidRPr="00B46084">
        <w:rPr>
          <w:sz w:val="22"/>
        </w:rPr>
        <w:t xml:space="preserve">, como mínimo un arquitecto y una persona del área administrativa y </w:t>
      </w:r>
      <w:r w:rsidRPr="00B46084">
        <w:rPr>
          <w:color w:val="000000" w:themeColor="text1"/>
          <w:sz w:val="22"/>
        </w:rPr>
        <w:t xml:space="preserve">financiera </w:t>
      </w:r>
      <w:r w:rsidRPr="00B46084">
        <w:rPr>
          <w:sz w:val="22"/>
        </w:rPr>
        <w:t>para realizar el seguimiento al proyecto</w:t>
      </w:r>
      <w:r>
        <w:rPr>
          <w:sz w:val="22"/>
        </w:rPr>
        <w:t>, en tanto finalicen</w:t>
      </w:r>
      <w:r w:rsidRPr="00B46084">
        <w:rPr>
          <w:sz w:val="22"/>
        </w:rPr>
        <w:t xml:space="preserve"> los estudios y diseños</w:t>
      </w:r>
      <w:r>
        <w:rPr>
          <w:sz w:val="22"/>
        </w:rPr>
        <w:t>.</w:t>
      </w:r>
    </w:p>
    <w:p w14:paraId="149F353B" w14:textId="77777777" w:rsidR="008F5741" w:rsidRPr="00B46084" w:rsidRDefault="008F5741" w:rsidP="008F5741">
      <w:pPr>
        <w:ind w:left="426" w:hanging="284"/>
        <w:jc w:val="both"/>
        <w:rPr>
          <w:sz w:val="18"/>
        </w:rPr>
      </w:pPr>
    </w:p>
    <w:p w14:paraId="3AC9DC8B" w14:textId="77777777" w:rsidR="008F5741" w:rsidRPr="00B46084" w:rsidRDefault="008F5741" w:rsidP="008F5741">
      <w:pPr>
        <w:pStyle w:val="Prrafodelista"/>
        <w:numPr>
          <w:ilvl w:val="0"/>
          <w:numId w:val="41"/>
        </w:numPr>
        <w:ind w:left="426" w:hanging="284"/>
        <w:jc w:val="both"/>
        <w:rPr>
          <w:sz w:val="22"/>
        </w:rPr>
      </w:pPr>
      <w:r>
        <w:rPr>
          <w:sz w:val="22"/>
        </w:rPr>
        <w:t>F</w:t>
      </w:r>
      <w:r w:rsidRPr="00B46084">
        <w:rPr>
          <w:sz w:val="22"/>
        </w:rPr>
        <w:t>ortalecer de forma especializada cada frente</w:t>
      </w:r>
      <w:r>
        <w:rPr>
          <w:sz w:val="22"/>
        </w:rPr>
        <w:t xml:space="preserve"> de interventoría</w:t>
      </w:r>
      <w:r w:rsidRPr="00B46084">
        <w:rPr>
          <w:sz w:val="22"/>
        </w:rPr>
        <w:t xml:space="preserve">, dada </w:t>
      </w:r>
      <w:r>
        <w:rPr>
          <w:sz w:val="22"/>
        </w:rPr>
        <w:t xml:space="preserve">la magnitud del proyecto y </w:t>
      </w:r>
      <w:r w:rsidRPr="00B46084">
        <w:rPr>
          <w:sz w:val="22"/>
        </w:rPr>
        <w:t xml:space="preserve">la complejidad de la fase de diseño. </w:t>
      </w:r>
    </w:p>
    <w:p w14:paraId="6D1E9E9B" w14:textId="77777777" w:rsidR="008F5741" w:rsidRPr="00B46084" w:rsidRDefault="008F5741" w:rsidP="008F5741">
      <w:pPr>
        <w:ind w:left="426" w:hanging="284"/>
        <w:jc w:val="both"/>
        <w:rPr>
          <w:sz w:val="18"/>
        </w:rPr>
      </w:pPr>
    </w:p>
    <w:p w14:paraId="4AB77F8B" w14:textId="77777777" w:rsidR="008F5741" w:rsidRDefault="008F5741" w:rsidP="008F5741">
      <w:pPr>
        <w:pStyle w:val="Prrafodelista"/>
        <w:numPr>
          <w:ilvl w:val="0"/>
          <w:numId w:val="41"/>
        </w:numPr>
        <w:ind w:left="426" w:hanging="284"/>
        <w:jc w:val="both"/>
        <w:rPr>
          <w:sz w:val="22"/>
        </w:rPr>
      </w:pPr>
      <w:r>
        <w:rPr>
          <w:sz w:val="22"/>
          <w:szCs w:val="22"/>
        </w:rPr>
        <w:t>Implementar</w:t>
      </w:r>
      <w:r w:rsidRPr="00B46084">
        <w:rPr>
          <w:sz w:val="22"/>
          <w:szCs w:val="22"/>
        </w:rPr>
        <w:t xml:space="preserve"> la transferencia de conocimiento</w:t>
      </w:r>
      <w:r>
        <w:rPr>
          <w:sz w:val="22"/>
          <w:szCs w:val="22"/>
        </w:rPr>
        <w:t xml:space="preserve">, </w:t>
      </w:r>
      <w:r w:rsidRPr="00B46084">
        <w:rPr>
          <w:sz w:val="22"/>
        </w:rPr>
        <w:t>en consistencia con la</w:t>
      </w:r>
      <w:r>
        <w:rPr>
          <w:sz w:val="22"/>
        </w:rPr>
        <w:t>s</w:t>
      </w:r>
      <w:r w:rsidRPr="00B46084">
        <w:rPr>
          <w:sz w:val="22"/>
        </w:rPr>
        <w:t xml:space="preserve"> norma</w:t>
      </w:r>
      <w:r>
        <w:rPr>
          <w:sz w:val="22"/>
        </w:rPr>
        <w:t>s de</w:t>
      </w:r>
      <w:r w:rsidRPr="00B46084">
        <w:rPr>
          <w:sz w:val="22"/>
        </w:rPr>
        <w:t xml:space="preserve"> continuidad de los procesos, no pérdida de información, reprocesos y garantía técnica de la ejecución.  </w:t>
      </w:r>
    </w:p>
    <w:p w14:paraId="7CA4CC3D" w14:textId="77777777" w:rsidR="008F5741" w:rsidRPr="00FF02EC" w:rsidRDefault="008F5741" w:rsidP="008F5741">
      <w:pPr>
        <w:rPr>
          <w:sz w:val="22"/>
        </w:rPr>
      </w:pPr>
    </w:p>
    <w:p w14:paraId="593C2AB5" w14:textId="77777777" w:rsidR="008F5741" w:rsidRPr="00371ACF" w:rsidRDefault="008F5741" w:rsidP="008F5741">
      <w:pPr>
        <w:rPr>
          <w:b/>
          <w:color w:val="385623" w:themeColor="accent6" w:themeShade="80"/>
          <w:sz w:val="22"/>
        </w:rPr>
      </w:pPr>
      <w:r w:rsidRPr="00371ACF">
        <w:rPr>
          <w:b/>
          <w:color w:val="385623" w:themeColor="accent6" w:themeShade="80"/>
          <w:sz w:val="22"/>
        </w:rPr>
        <w:t xml:space="preserve">Comentarios Administración </w:t>
      </w:r>
    </w:p>
    <w:p w14:paraId="743F46FB" w14:textId="77777777" w:rsidR="008F5741" w:rsidRPr="002A46B7" w:rsidRDefault="008F5741" w:rsidP="008F5741">
      <w:pPr>
        <w:spacing w:line="259" w:lineRule="auto"/>
        <w:jc w:val="both"/>
        <w:rPr>
          <w:b/>
          <w:sz w:val="22"/>
        </w:rPr>
      </w:pPr>
      <w:r>
        <w:rPr>
          <w:sz w:val="22"/>
        </w:rPr>
        <w:t>En reunión del 17 de julio con e</w:t>
      </w:r>
      <w:r w:rsidRPr="00371ACF">
        <w:rPr>
          <w:sz w:val="22"/>
        </w:rPr>
        <w:t>l Jefe de Inf</w:t>
      </w:r>
      <w:r>
        <w:rPr>
          <w:sz w:val="22"/>
        </w:rPr>
        <w:t>r</w:t>
      </w:r>
      <w:r w:rsidRPr="00371ACF">
        <w:rPr>
          <w:sz w:val="22"/>
        </w:rPr>
        <w:t>aestructura física</w:t>
      </w:r>
      <w:r>
        <w:rPr>
          <w:sz w:val="22"/>
        </w:rPr>
        <w:t xml:space="preserve">, se confirmó </w:t>
      </w:r>
      <w:r w:rsidRPr="00F637E3">
        <w:rPr>
          <w:sz w:val="22"/>
        </w:rPr>
        <w:t>la instrucción del Vicerrector Administrativo</w:t>
      </w:r>
      <w:r>
        <w:rPr>
          <w:sz w:val="22"/>
        </w:rPr>
        <w:t>, para la</w:t>
      </w:r>
      <w:r w:rsidRPr="00F637E3">
        <w:rPr>
          <w:sz w:val="22"/>
        </w:rPr>
        <w:t xml:space="preserve"> designación de la</w:t>
      </w:r>
      <w:r>
        <w:rPr>
          <w:sz w:val="22"/>
        </w:rPr>
        <w:t>s diferentes</w:t>
      </w:r>
      <w:r w:rsidRPr="00F637E3">
        <w:rPr>
          <w:sz w:val="22"/>
        </w:rPr>
        <w:t xml:space="preserve"> interventoría</w:t>
      </w:r>
      <w:r>
        <w:rPr>
          <w:sz w:val="22"/>
        </w:rPr>
        <w:t>s</w:t>
      </w:r>
      <w:r w:rsidRPr="00F637E3">
        <w:rPr>
          <w:sz w:val="22"/>
        </w:rPr>
        <w:t>.</w:t>
      </w:r>
      <w:r>
        <w:rPr>
          <w:sz w:val="22"/>
        </w:rPr>
        <w:t xml:space="preserve"> En cuanto al contenido del documento relacionado se</w:t>
      </w:r>
      <w:r w:rsidRPr="002A46B7">
        <w:rPr>
          <w:sz w:val="22"/>
        </w:rPr>
        <w:t xml:space="preserve"> validó con el nuevo interventor</w:t>
      </w:r>
      <w:r>
        <w:rPr>
          <w:sz w:val="22"/>
        </w:rPr>
        <w:t>, quien informó que</w:t>
      </w:r>
      <w:r w:rsidRPr="002A46B7">
        <w:rPr>
          <w:sz w:val="22"/>
        </w:rPr>
        <w:t xml:space="preserve"> debía </w:t>
      </w:r>
      <w:r w:rsidRPr="002A46B7">
        <w:rPr>
          <w:sz w:val="22"/>
        </w:rPr>
        <w:lastRenderedPageBreak/>
        <w:t xml:space="preserve">revisar la documentación suministrada a través de la directora del proyecto para validar y ponerse al tanto y así conocer el estado de los contratos y las actividades. </w:t>
      </w:r>
    </w:p>
    <w:p w14:paraId="3A92F43C" w14:textId="0ACF02C0" w:rsidR="008F5741" w:rsidRDefault="008F5741" w:rsidP="008F5741">
      <w:pPr>
        <w:jc w:val="both"/>
        <w:rPr>
          <w:sz w:val="22"/>
        </w:rPr>
      </w:pPr>
    </w:p>
    <w:p w14:paraId="42A940F0" w14:textId="37CA0D9C" w:rsidR="00D838E9" w:rsidRDefault="00D838E9" w:rsidP="008F5741">
      <w:pPr>
        <w:jc w:val="both"/>
        <w:rPr>
          <w:sz w:val="22"/>
        </w:rPr>
      </w:pPr>
      <w:r>
        <w:rPr>
          <w:sz w:val="22"/>
        </w:rPr>
        <w:t xml:space="preserve">En reunión del </w:t>
      </w:r>
      <w:r w:rsidR="00C561F0">
        <w:rPr>
          <w:sz w:val="22"/>
        </w:rPr>
        <w:t>6 de septiembre</w:t>
      </w:r>
      <w:r>
        <w:rPr>
          <w:sz w:val="22"/>
        </w:rPr>
        <w:t xml:space="preserve"> e</w:t>
      </w:r>
      <w:r w:rsidRPr="00371ACF">
        <w:rPr>
          <w:sz w:val="22"/>
        </w:rPr>
        <w:t>l Jefe de Inf</w:t>
      </w:r>
      <w:r>
        <w:rPr>
          <w:sz w:val="22"/>
        </w:rPr>
        <w:t>r</w:t>
      </w:r>
      <w:r w:rsidRPr="00371ACF">
        <w:rPr>
          <w:sz w:val="22"/>
        </w:rPr>
        <w:t>aestructura física</w:t>
      </w:r>
      <w:r w:rsidR="00C561F0">
        <w:rPr>
          <w:sz w:val="22"/>
        </w:rPr>
        <w:t xml:space="preserve"> informó que el equipo técnico del proyecto está conformado por un ingeniero y dos arquitectos vinculados a la Universidad y él es el Gerente técnico.</w:t>
      </w:r>
    </w:p>
    <w:p w14:paraId="27E6E89C" w14:textId="54BCE76A" w:rsidR="00D838E9" w:rsidRDefault="00D838E9" w:rsidP="008F5741">
      <w:pPr>
        <w:jc w:val="both"/>
        <w:rPr>
          <w:sz w:val="22"/>
        </w:rPr>
      </w:pPr>
    </w:p>
    <w:p w14:paraId="6E06B488" w14:textId="77777777" w:rsidR="00D838E9" w:rsidRPr="00B46084" w:rsidRDefault="00D838E9" w:rsidP="008F5741">
      <w:pPr>
        <w:jc w:val="both"/>
        <w:rPr>
          <w:sz w:val="22"/>
        </w:rPr>
      </w:pPr>
    </w:p>
    <w:p w14:paraId="35958422" w14:textId="77777777" w:rsidR="008F5741" w:rsidRPr="00B3503F" w:rsidRDefault="008F5741" w:rsidP="008F5741">
      <w:pPr>
        <w:pStyle w:val="Ttulo3"/>
        <w:numPr>
          <w:ilvl w:val="2"/>
          <w:numId w:val="6"/>
        </w:numPr>
        <w:ind w:left="709" w:hanging="709"/>
        <w:rPr>
          <w:rFonts w:ascii="Times New Roman" w:hAnsi="Times New Roman" w:cs="Times New Roman"/>
          <w:b/>
          <w:color w:val="385623" w:themeColor="accent6" w:themeShade="80"/>
          <w:sz w:val="22"/>
        </w:rPr>
      </w:pPr>
      <w:bookmarkStart w:id="15" w:name="_Toc526516468"/>
      <w:r w:rsidRPr="00B3503F">
        <w:rPr>
          <w:rFonts w:ascii="Times New Roman" w:hAnsi="Times New Roman" w:cs="Times New Roman"/>
          <w:b/>
          <w:color w:val="385623" w:themeColor="accent6" w:themeShade="80"/>
          <w:sz w:val="22"/>
        </w:rPr>
        <w:t xml:space="preserve">Comités </w:t>
      </w:r>
      <w:r>
        <w:rPr>
          <w:rFonts w:ascii="Times New Roman" w:hAnsi="Times New Roman" w:cs="Times New Roman"/>
          <w:b/>
          <w:color w:val="385623" w:themeColor="accent6" w:themeShade="80"/>
          <w:sz w:val="22"/>
        </w:rPr>
        <w:t>de</w:t>
      </w:r>
      <w:r w:rsidRPr="00B3503F">
        <w:rPr>
          <w:rFonts w:ascii="Times New Roman" w:hAnsi="Times New Roman" w:cs="Times New Roman"/>
          <w:b/>
          <w:color w:val="385623" w:themeColor="accent6" w:themeShade="80"/>
          <w:sz w:val="22"/>
        </w:rPr>
        <w:t>l proyecto</w:t>
      </w:r>
      <w:bookmarkEnd w:id="15"/>
    </w:p>
    <w:p w14:paraId="43FAD1A9" w14:textId="77777777" w:rsidR="008F5741" w:rsidRPr="00215132" w:rsidRDefault="008F5741" w:rsidP="008F5741">
      <w:pPr>
        <w:rPr>
          <w:sz w:val="22"/>
        </w:rPr>
      </w:pPr>
    </w:p>
    <w:p w14:paraId="084A1AE9" w14:textId="1814B643" w:rsidR="008F5741" w:rsidRPr="00215132" w:rsidRDefault="008F5741" w:rsidP="008F5741">
      <w:pPr>
        <w:jc w:val="both"/>
        <w:rPr>
          <w:sz w:val="22"/>
        </w:rPr>
      </w:pPr>
      <w:r>
        <w:rPr>
          <w:sz w:val="22"/>
        </w:rPr>
        <w:t>L</w:t>
      </w:r>
      <w:r w:rsidRPr="00215132">
        <w:rPr>
          <w:sz w:val="22"/>
        </w:rPr>
        <w:t>a Resolución Rectoral 43331 del 7 de septiembre de 2017, creó el Comité de Dirección, administrativa y financiera, el Comité Académico y el Comité de Obra</w:t>
      </w:r>
      <w:r>
        <w:rPr>
          <w:sz w:val="22"/>
        </w:rPr>
        <w:t xml:space="preserve"> </w:t>
      </w:r>
      <w:r w:rsidRPr="00215132">
        <w:rPr>
          <w:sz w:val="22"/>
        </w:rPr>
        <w:t xml:space="preserve">del Complejo de </w:t>
      </w:r>
      <w:r>
        <w:rPr>
          <w:sz w:val="22"/>
        </w:rPr>
        <w:t>S</w:t>
      </w:r>
      <w:r w:rsidRPr="00215132">
        <w:rPr>
          <w:sz w:val="22"/>
        </w:rPr>
        <w:t>alud</w:t>
      </w:r>
      <w:r w:rsidR="00FF02EC">
        <w:rPr>
          <w:sz w:val="22"/>
        </w:rPr>
        <w:t xml:space="preserve"> y</w:t>
      </w:r>
      <w:r w:rsidRPr="00215132">
        <w:rPr>
          <w:sz w:val="22"/>
        </w:rPr>
        <w:t xml:space="preserve"> </w:t>
      </w:r>
      <w:r w:rsidR="00FF02EC">
        <w:rPr>
          <w:sz w:val="22"/>
        </w:rPr>
        <w:t>p</w:t>
      </w:r>
      <w:r w:rsidR="00FF02EC" w:rsidRPr="00215132">
        <w:rPr>
          <w:sz w:val="22"/>
        </w:rPr>
        <w:t xml:space="preserve">osteriormente </w:t>
      </w:r>
      <w:r>
        <w:rPr>
          <w:sz w:val="22"/>
        </w:rPr>
        <w:t xml:space="preserve">se </w:t>
      </w:r>
      <w:r w:rsidRPr="00215132">
        <w:rPr>
          <w:sz w:val="22"/>
        </w:rPr>
        <w:t xml:space="preserve">sustituyó </w:t>
      </w:r>
      <w:r>
        <w:rPr>
          <w:sz w:val="22"/>
        </w:rPr>
        <w:t>con la</w:t>
      </w:r>
      <w:r w:rsidRPr="00215132">
        <w:rPr>
          <w:sz w:val="22"/>
        </w:rPr>
        <w:t xml:space="preserve"> Resolución Rectoral 44139 del 3 de abril de 2018</w:t>
      </w:r>
      <w:r>
        <w:rPr>
          <w:sz w:val="22"/>
        </w:rPr>
        <w:t>, así</w:t>
      </w:r>
      <w:r w:rsidRPr="00215132">
        <w:rPr>
          <w:sz w:val="22"/>
        </w:rPr>
        <w:t>:</w:t>
      </w:r>
    </w:p>
    <w:p w14:paraId="1DF7204F" w14:textId="77777777" w:rsidR="008F5741" w:rsidRPr="00215132" w:rsidRDefault="008F5741" w:rsidP="008F5741">
      <w:pPr>
        <w:jc w:val="both"/>
        <w:rPr>
          <w:sz w:val="22"/>
        </w:rPr>
      </w:pPr>
    </w:p>
    <w:tbl>
      <w:tblPr>
        <w:tblStyle w:val="Tabladecuadrcula2-nfasis6"/>
        <w:tblW w:w="8931" w:type="dxa"/>
        <w:tblLook w:val="04A0" w:firstRow="1" w:lastRow="0" w:firstColumn="1" w:lastColumn="0" w:noHBand="0" w:noVBand="1"/>
      </w:tblPr>
      <w:tblGrid>
        <w:gridCol w:w="1443"/>
        <w:gridCol w:w="5220"/>
        <w:gridCol w:w="2268"/>
      </w:tblGrid>
      <w:tr w:rsidR="008F5741" w:rsidRPr="002B35E5" w14:paraId="119AA8B6" w14:textId="77777777" w:rsidTr="008F57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vAlign w:val="center"/>
          </w:tcPr>
          <w:p w14:paraId="2C9F2B00" w14:textId="77777777" w:rsidR="008F5741" w:rsidRPr="002B35E5" w:rsidRDefault="008F5741" w:rsidP="008F5741">
            <w:pPr>
              <w:jc w:val="center"/>
              <w:rPr>
                <w:b w:val="0"/>
                <w:color w:val="385623" w:themeColor="accent6" w:themeShade="80"/>
                <w:sz w:val="20"/>
              </w:rPr>
            </w:pPr>
            <w:r w:rsidRPr="002B35E5">
              <w:rPr>
                <w:b w:val="0"/>
                <w:color w:val="385623" w:themeColor="accent6" w:themeShade="80"/>
                <w:sz w:val="20"/>
              </w:rPr>
              <w:t>Comité</w:t>
            </w:r>
          </w:p>
        </w:tc>
        <w:tc>
          <w:tcPr>
            <w:tcW w:w="5220" w:type="dxa"/>
            <w:vAlign w:val="center"/>
          </w:tcPr>
          <w:p w14:paraId="71417098" w14:textId="77777777" w:rsidR="008F5741" w:rsidRPr="002B35E5" w:rsidRDefault="008F5741" w:rsidP="008F5741">
            <w:pPr>
              <w:jc w:val="center"/>
              <w:cnfStyle w:val="100000000000" w:firstRow="1" w:lastRow="0" w:firstColumn="0" w:lastColumn="0" w:oddVBand="0" w:evenVBand="0" w:oddHBand="0" w:evenHBand="0" w:firstRowFirstColumn="0" w:firstRowLastColumn="0" w:lastRowFirstColumn="0" w:lastRowLastColumn="0"/>
              <w:rPr>
                <w:b w:val="0"/>
                <w:color w:val="385623" w:themeColor="accent6" w:themeShade="80"/>
                <w:sz w:val="20"/>
              </w:rPr>
            </w:pPr>
            <w:r w:rsidRPr="002B35E5">
              <w:rPr>
                <w:b w:val="0"/>
                <w:color w:val="385623" w:themeColor="accent6" w:themeShade="80"/>
                <w:sz w:val="20"/>
              </w:rPr>
              <w:t>Integrantes</w:t>
            </w:r>
          </w:p>
        </w:tc>
        <w:tc>
          <w:tcPr>
            <w:tcW w:w="2268" w:type="dxa"/>
            <w:vAlign w:val="center"/>
          </w:tcPr>
          <w:p w14:paraId="76897000" w14:textId="77777777" w:rsidR="008F5741" w:rsidRPr="002B35E5" w:rsidRDefault="008F5741" w:rsidP="008F5741">
            <w:pPr>
              <w:jc w:val="center"/>
              <w:cnfStyle w:val="100000000000" w:firstRow="1" w:lastRow="0" w:firstColumn="0" w:lastColumn="0" w:oddVBand="0" w:evenVBand="0" w:oddHBand="0" w:evenHBand="0" w:firstRowFirstColumn="0" w:firstRowLastColumn="0" w:lastRowFirstColumn="0" w:lastRowLastColumn="0"/>
              <w:rPr>
                <w:b w:val="0"/>
                <w:color w:val="385623" w:themeColor="accent6" w:themeShade="80"/>
                <w:sz w:val="20"/>
              </w:rPr>
            </w:pPr>
            <w:r w:rsidRPr="002B35E5">
              <w:rPr>
                <w:b w:val="0"/>
                <w:color w:val="385623" w:themeColor="accent6" w:themeShade="80"/>
                <w:sz w:val="20"/>
              </w:rPr>
              <w:t>Reuniones</w:t>
            </w:r>
          </w:p>
        </w:tc>
      </w:tr>
      <w:tr w:rsidR="008F5741" w:rsidRPr="002B35E5" w14:paraId="502014CC" w14:textId="77777777" w:rsidTr="008F5741">
        <w:trPr>
          <w:cnfStyle w:val="000000100000" w:firstRow="0" w:lastRow="0" w:firstColumn="0" w:lastColumn="0" w:oddVBand="0" w:evenVBand="0" w:oddHBand="1" w:evenHBand="0" w:firstRowFirstColumn="0" w:firstRowLastColumn="0" w:lastRowFirstColumn="0" w:lastRowLastColumn="0"/>
          <w:trHeight w:val="2108"/>
        </w:trPr>
        <w:tc>
          <w:tcPr>
            <w:cnfStyle w:val="001000000000" w:firstRow="0" w:lastRow="0" w:firstColumn="1" w:lastColumn="0" w:oddVBand="0" w:evenVBand="0" w:oddHBand="0" w:evenHBand="0" w:firstRowFirstColumn="0" w:firstRowLastColumn="0" w:lastRowFirstColumn="0" w:lastRowLastColumn="0"/>
            <w:tcW w:w="1443" w:type="dxa"/>
            <w:vAlign w:val="center"/>
          </w:tcPr>
          <w:p w14:paraId="75471991" w14:textId="77777777" w:rsidR="008F5741" w:rsidRPr="002B35E5" w:rsidRDefault="008F5741" w:rsidP="008F5741">
            <w:pPr>
              <w:rPr>
                <w:sz w:val="18"/>
              </w:rPr>
            </w:pPr>
            <w:r w:rsidRPr="002B35E5">
              <w:rPr>
                <w:sz w:val="18"/>
              </w:rPr>
              <w:t>Comités Directivo Administrativo y Financiero</w:t>
            </w:r>
          </w:p>
        </w:tc>
        <w:tc>
          <w:tcPr>
            <w:tcW w:w="5220" w:type="dxa"/>
            <w:vAlign w:val="center"/>
          </w:tcPr>
          <w:p w14:paraId="43ACCC82" w14:textId="77777777" w:rsidR="008F5741" w:rsidRPr="002B35E5" w:rsidRDefault="008F5741" w:rsidP="008F5741">
            <w:pPr>
              <w:tabs>
                <w:tab w:val="left" w:pos="146"/>
              </w:tabs>
              <w:autoSpaceDE w:val="0"/>
              <w:autoSpaceDN w:val="0"/>
              <w:adjustRightInd w:val="0"/>
              <w:ind w:left="146" w:hanging="146"/>
              <w:cnfStyle w:val="000000100000" w:firstRow="0" w:lastRow="0" w:firstColumn="0" w:lastColumn="0" w:oddVBand="0" w:evenVBand="0" w:oddHBand="1" w:evenHBand="0" w:firstRowFirstColumn="0" w:firstRowLastColumn="0" w:lastRowFirstColumn="0" w:lastRowLastColumn="0"/>
              <w:rPr>
                <w:sz w:val="18"/>
              </w:rPr>
            </w:pPr>
            <w:r w:rsidRPr="002B35E5">
              <w:rPr>
                <w:sz w:val="18"/>
              </w:rPr>
              <w:t>a.</w:t>
            </w:r>
            <w:r>
              <w:rPr>
                <w:sz w:val="18"/>
              </w:rPr>
              <w:t xml:space="preserve"> </w:t>
            </w:r>
            <w:r w:rsidRPr="002B35E5">
              <w:rPr>
                <w:sz w:val="18"/>
              </w:rPr>
              <w:t>El Rector o su delegado, quien lo presidirá</w:t>
            </w:r>
          </w:p>
          <w:p w14:paraId="572E6261" w14:textId="77777777" w:rsidR="008F5741" w:rsidRPr="002B35E5" w:rsidRDefault="008F5741" w:rsidP="008F5741">
            <w:pPr>
              <w:tabs>
                <w:tab w:val="left" w:pos="146"/>
              </w:tabs>
              <w:autoSpaceDE w:val="0"/>
              <w:autoSpaceDN w:val="0"/>
              <w:adjustRightInd w:val="0"/>
              <w:ind w:left="146" w:hanging="146"/>
              <w:cnfStyle w:val="000000100000" w:firstRow="0" w:lastRow="0" w:firstColumn="0" w:lastColumn="0" w:oddVBand="0" w:evenVBand="0" w:oddHBand="1" w:evenHBand="0" w:firstRowFirstColumn="0" w:firstRowLastColumn="0" w:lastRowFirstColumn="0" w:lastRowLastColumn="0"/>
              <w:rPr>
                <w:sz w:val="18"/>
              </w:rPr>
            </w:pPr>
            <w:r w:rsidRPr="002B35E5">
              <w:rPr>
                <w:sz w:val="18"/>
              </w:rPr>
              <w:t>b. El Vicerrector Administrativo o su delegado</w:t>
            </w:r>
          </w:p>
          <w:p w14:paraId="29810432" w14:textId="77777777" w:rsidR="008F5741" w:rsidRPr="002B35E5" w:rsidRDefault="008F5741" w:rsidP="008F5741">
            <w:pPr>
              <w:tabs>
                <w:tab w:val="left" w:pos="146"/>
              </w:tabs>
              <w:autoSpaceDE w:val="0"/>
              <w:autoSpaceDN w:val="0"/>
              <w:adjustRightInd w:val="0"/>
              <w:ind w:left="146" w:hanging="146"/>
              <w:cnfStyle w:val="000000100000" w:firstRow="0" w:lastRow="0" w:firstColumn="0" w:lastColumn="0" w:oddVBand="0" w:evenVBand="0" w:oddHBand="1" w:evenHBand="0" w:firstRowFirstColumn="0" w:firstRowLastColumn="0" w:lastRowFirstColumn="0" w:lastRowLastColumn="0"/>
              <w:rPr>
                <w:sz w:val="18"/>
              </w:rPr>
            </w:pPr>
            <w:r w:rsidRPr="002B35E5">
              <w:rPr>
                <w:sz w:val="18"/>
              </w:rPr>
              <w:t>c. El Vicerrector de Docencia o su delegado</w:t>
            </w:r>
          </w:p>
          <w:p w14:paraId="558ACDA7" w14:textId="77777777" w:rsidR="008F5741" w:rsidRPr="002B35E5" w:rsidRDefault="008F5741" w:rsidP="008F5741">
            <w:pPr>
              <w:tabs>
                <w:tab w:val="left" w:pos="146"/>
              </w:tabs>
              <w:autoSpaceDE w:val="0"/>
              <w:autoSpaceDN w:val="0"/>
              <w:adjustRightInd w:val="0"/>
              <w:ind w:left="146" w:hanging="146"/>
              <w:cnfStyle w:val="000000100000" w:firstRow="0" w:lastRow="0" w:firstColumn="0" w:lastColumn="0" w:oddVBand="0" w:evenVBand="0" w:oddHBand="1" w:evenHBand="0" w:firstRowFirstColumn="0" w:firstRowLastColumn="0" w:lastRowFirstColumn="0" w:lastRowLastColumn="0"/>
              <w:rPr>
                <w:sz w:val="18"/>
              </w:rPr>
            </w:pPr>
            <w:r w:rsidRPr="002B35E5">
              <w:rPr>
                <w:sz w:val="18"/>
              </w:rPr>
              <w:t>d. El Director de Planeación y Desarrollo Institucional o su delegado</w:t>
            </w:r>
          </w:p>
          <w:p w14:paraId="49005131" w14:textId="77777777" w:rsidR="008F5741" w:rsidRPr="002B35E5" w:rsidRDefault="008F5741" w:rsidP="008F5741">
            <w:pPr>
              <w:tabs>
                <w:tab w:val="left" w:pos="146"/>
              </w:tabs>
              <w:autoSpaceDE w:val="0"/>
              <w:autoSpaceDN w:val="0"/>
              <w:adjustRightInd w:val="0"/>
              <w:ind w:left="146" w:hanging="146"/>
              <w:cnfStyle w:val="000000100000" w:firstRow="0" w:lastRow="0" w:firstColumn="0" w:lastColumn="0" w:oddVBand="0" w:evenVBand="0" w:oddHBand="1" w:evenHBand="0" w:firstRowFirstColumn="0" w:firstRowLastColumn="0" w:lastRowFirstColumn="0" w:lastRowLastColumn="0"/>
              <w:rPr>
                <w:sz w:val="18"/>
              </w:rPr>
            </w:pPr>
            <w:r w:rsidRPr="002B35E5">
              <w:rPr>
                <w:sz w:val="18"/>
              </w:rPr>
              <w:t>e. El Jefe de la División de Infraestructura Física. (</w:t>
            </w:r>
            <w:r w:rsidRPr="002B35E5">
              <w:rPr>
                <w:i/>
                <w:sz w:val="18"/>
              </w:rPr>
              <w:t>Secretaría Técnica)</w:t>
            </w:r>
          </w:p>
          <w:p w14:paraId="2C379041" w14:textId="77777777" w:rsidR="008F5741" w:rsidRPr="002B35E5" w:rsidRDefault="008F5741" w:rsidP="008F5741">
            <w:pPr>
              <w:tabs>
                <w:tab w:val="left" w:pos="146"/>
              </w:tabs>
              <w:autoSpaceDE w:val="0"/>
              <w:autoSpaceDN w:val="0"/>
              <w:adjustRightInd w:val="0"/>
              <w:ind w:left="146" w:hanging="146"/>
              <w:cnfStyle w:val="000000100000" w:firstRow="0" w:lastRow="0" w:firstColumn="0" w:lastColumn="0" w:oddVBand="0" w:evenVBand="0" w:oddHBand="1" w:evenHBand="0" w:firstRowFirstColumn="0" w:firstRowLastColumn="0" w:lastRowFirstColumn="0" w:lastRowLastColumn="0"/>
              <w:rPr>
                <w:sz w:val="18"/>
              </w:rPr>
            </w:pPr>
            <w:r w:rsidRPr="002B35E5">
              <w:rPr>
                <w:sz w:val="18"/>
              </w:rPr>
              <w:t>f. El Director General del proyecto Complejo de la Salud</w:t>
            </w:r>
          </w:p>
          <w:p w14:paraId="6AA5E414" w14:textId="77777777" w:rsidR="008F5741" w:rsidRPr="002B35E5" w:rsidRDefault="008F5741" w:rsidP="008F5741">
            <w:pPr>
              <w:tabs>
                <w:tab w:val="left" w:pos="146"/>
              </w:tabs>
              <w:ind w:left="146" w:hanging="146"/>
              <w:cnfStyle w:val="000000100000" w:firstRow="0" w:lastRow="0" w:firstColumn="0" w:lastColumn="0" w:oddVBand="0" w:evenVBand="0" w:oddHBand="1" w:evenHBand="0" w:firstRowFirstColumn="0" w:firstRowLastColumn="0" w:lastRowFirstColumn="0" w:lastRowLastColumn="0"/>
              <w:rPr>
                <w:sz w:val="18"/>
              </w:rPr>
            </w:pPr>
            <w:r w:rsidRPr="002B35E5">
              <w:rPr>
                <w:sz w:val="18"/>
              </w:rPr>
              <w:t>g. La Gerencia Técnica del proyecto Complejo de la Salud</w:t>
            </w:r>
          </w:p>
        </w:tc>
        <w:tc>
          <w:tcPr>
            <w:tcW w:w="2268" w:type="dxa"/>
            <w:vAlign w:val="center"/>
          </w:tcPr>
          <w:p w14:paraId="792BC4A1" w14:textId="77777777" w:rsidR="008F5741" w:rsidRPr="002B35E5" w:rsidRDefault="008F5741" w:rsidP="008F5741">
            <w:pPr>
              <w:cnfStyle w:val="000000100000" w:firstRow="0" w:lastRow="0" w:firstColumn="0" w:lastColumn="0" w:oddVBand="0" w:evenVBand="0" w:oddHBand="1" w:evenHBand="0" w:firstRowFirstColumn="0" w:firstRowLastColumn="0" w:lastRowFirstColumn="0" w:lastRowLastColumn="0"/>
              <w:rPr>
                <w:sz w:val="18"/>
              </w:rPr>
            </w:pPr>
            <w:r w:rsidRPr="002B35E5">
              <w:rPr>
                <w:sz w:val="18"/>
              </w:rPr>
              <w:t xml:space="preserve">La Resolución 43331 estableció la periodicidad de las reuniones de manera mensual. </w:t>
            </w:r>
          </w:p>
          <w:p w14:paraId="1F234DE0" w14:textId="77777777" w:rsidR="008F5741" w:rsidRPr="002B35E5" w:rsidRDefault="008F5741" w:rsidP="008F5741">
            <w:pPr>
              <w:cnfStyle w:val="000000100000" w:firstRow="0" w:lastRow="0" w:firstColumn="0" w:lastColumn="0" w:oddVBand="0" w:evenVBand="0" w:oddHBand="1" w:evenHBand="0" w:firstRowFirstColumn="0" w:firstRowLastColumn="0" w:lastRowFirstColumn="0" w:lastRowLastColumn="0"/>
              <w:rPr>
                <w:sz w:val="18"/>
              </w:rPr>
            </w:pPr>
          </w:p>
          <w:p w14:paraId="286F47BE" w14:textId="77777777" w:rsidR="008F5741" w:rsidRPr="002B35E5" w:rsidRDefault="008F5741" w:rsidP="008F5741">
            <w:pPr>
              <w:cnfStyle w:val="000000100000" w:firstRow="0" w:lastRow="0" w:firstColumn="0" w:lastColumn="0" w:oddVBand="0" w:evenVBand="0" w:oddHBand="1" w:evenHBand="0" w:firstRowFirstColumn="0" w:firstRowLastColumn="0" w:lastRowFirstColumn="0" w:lastRowLastColumn="0"/>
              <w:rPr>
                <w:sz w:val="18"/>
              </w:rPr>
            </w:pPr>
            <w:r w:rsidRPr="002B35E5">
              <w:rPr>
                <w:sz w:val="18"/>
              </w:rPr>
              <w:t>La Resolución 44139 estableció una periodicidad de cada 2 meses de manera ordinaria.</w:t>
            </w:r>
          </w:p>
        </w:tc>
      </w:tr>
      <w:tr w:rsidR="008F5741" w:rsidRPr="002B35E5" w14:paraId="2E575F2E" w14:textId="77777777" w:rsidTr="008F5741">
        <w:trPr>
          <w:trHeight w:val="3103"/>
        </w:trPr>
        <w:tc>
          <w:tcPr>
            <w:cnfStyle w:val="001000000000" w:firstRow="0" w:lastRow="0" w:firstColumn="1" w:lastColumn="0" w:oddVBand="0" w:evenVBand="0" w:oddHBand="0" w:evenHBand="0" w:firstRowFirstColumn="0" w:firstRowLastColumn="0" w:lastRowFirstColumn="0" w:lastRowLastColumn="0"/>
            <w:tcW w:w="1443" w:type="dxa"/>
            <w:vAlign w:val="center"/>
          </w:tcPr>
          <w:p w14:paraId="79CAA89A" w14:textId="77777777" w:rsidR="008F5741" w:rsidRPr="002B35E5" w:rsidRDefault="008F5741" w:rsidP="008F5741">
            <w:pPr>
              <w:rPr>
                <w:sz w:val="18"/>
              </w:rPr>
            </w:pPr>
            <w:r w:rsidRPr="002B35E5">
              <w:rPr>
                <w:sz w:val="18"/>
              </w:rPr>
              <w:t>Comité Académico</w:t>
            </w:r>
          </w:p>
        </w:tc>
        <w:tc>
          <w:tcPr>
            <w:tcW w:w="5220" w:type="dxa"/>
            <w:vAlign w:val="center"/>
          </w:tcPr>
          <w:p w14:paraId="6EB31B9F" w14:textId="77777777" w:rsidR="008F5741" w:rsidRPr="002B35E5" w:rsidRDefault="008F5741" w:rsidP="008F5741">
            <w:pPr>
              <w:tabs>
                <w:tab w:val="left" w:pos="146"/>
              </w:tabs>
              <w:autoSpaceDE w:val="0"/>
              <w:autoSpaceDN w:val="0"/>
              <w:adjustRightInd w:val="0"/>
              <w:ind w:left="146" w:hanging="146"/>
              <w:cnfStyle w:val="000000000000" w:firstRow="0" w:lastRow="0" w:firstColumn="0" w:lastColumn="0" w:oddVBand="0" w:evenVBand="0" w:oddHBand="0" w:evenHBand="0" w:firstRowFirstColumn="0" w:firstRowLastColumn="0" w:lastRowFirstColumn="0" w:lastRowLastColumn="0"/>
              <w:rPr>
                <w:sz w:val="18"/>
              </w:rPr>
            </w:pPr>
            <w:r w:rsidRPr="002B35E5">
              <w:rPr>
                <w:sz w:val="18"/>
              </w:rPr>
              <w:t>a. El Vicerrector de Docencia o su delegado, quien lo presidirá</w:t>
            </w:r>
          </w:p>
          <w:p w14:paraId="68379061" w14:textId="77777777" w:rsidR="008F5741" w:rsidRPr="002B35E5" w:rsidRDefault="008F5741" w:rsidP="008F5741">
            <w:pPr>
              <w:tabs>
                <w:tab w:val="left" w:pos="146"/>
              </w:tabs>
              <w:autoSpaceDE w:val="0"/>
              <w:autoSpaceDN w:val="0"/>
              <w:adjustRightInd w:val="0"/>
              <w:ind w:left="146" w:hanging="146"/>
              <w:cnfStyle w:val="000000000000" w:firstRow="0" w:lastRow="0" w:firstColumn="0" w:lastColumn="0" w:oddVBand="0" w:evenVBand="0" w:oddHBand="0" w:evenHBand="0" w:firstRowFirstColumn="0" w:firstRowLastColumn="0" w:lastRowFirstColumn="0" w:lastRowLastColumn="0"/>
              <w:rPr>
                <w:sz w:val="18"/>
              </w:rPr>
            </w:pPr>
            <w:r w:rsidRPr="002B35E5">
              <w:rPr>
                <w:sz w:val="18"/>
              </w:rPr>
              <w:t>b. El Vicerrector de Investigación o su delegado</w:t>
            </w:r>
          </w:p>
          <w:p w14:paraId="36AACF8D" w14:textId="77777777" w:rsidR="008F5741" w:rsidRPr="002B35E5" w:rsidRDefault="008F5741" w:rsidP="008F5741">
            <w:pPr>
              <w:tabs>
                <w:tab w:val="left" w:pos="146"/>
              </w:tabs>
              <w:autoSpaceDE w:val="0"/>
              <w:autoSpaceDN w:val="0"/>
              <w:adjustRightInd w:val="0"/>
              <w:ind w:left="146" w:hanging="146"/>
              <w:cnfStyle w:val="000000000000" w:firstRow="0" w:lastRow="0" w:firstColumn="0" w:lastColumn="0" w:oddVBand="0" w:evenVBand="0" w:oddHBand="0" w:evenHBand="0" w:firstRowFirstColumn="0" w:firstRowLastColumn="0" w:lastRowFirstColumn="0" w:lastRowLastColumn="0"/>
              <w:rPr>
                <w:sz w:val="18"/>
              </w:rPr>
            </w:pPr>
            <w:r w:rsidRPr="002B35E5">
              <w:rPr>
                <w:sz w:val="18"/>
              </w:rPr>
              <w:t>c. El Vicerrector de Extensión o su delegado</w:t>
            </w:r>
          </w:p>
          <w:p w14:paraId="51E926CB" w14:textId="77777777" w:rsidR="008F5741" w:rsidRPr="002B35E5" w:rsidRDefault="008F5741" w:rsidP="008F5741">
            <w:pPr>
              <w:tabs>
                <w:tab w:val="left" w:pos="146"/>
              </w:tabs>
              <w:autoSpaceDE w:val="0"/>
              <w:autoSpaceDN w:val="0"/>
              <w:adjustRightInd w:val="0"/>
              <w:ind w:left="146" w:hanging="146"/>
              <w:cnfStyle w:val="000000000000" w:firstRow="0" w:lastRow="0" w:firstColumn="0" w:lastColumn="0" w:oddVBand="0" w:evenVBand="0" w:oddHBand="0" w:evenHBand="0" w:firstRowFirstColumn="0" w:firstRowLastColumn="0" w:lastRowFirstColumn="0" w:lastRowLastColumn="0"/>
              <w:rPr>
                <w:sz w:val="18"/>
              </w:rPr>
            </w:pPr>
            <w:r w:rsidRPr="002B35E5">
              <w:rPr>
                <w:sz w:val="18"/>
              </w:rPr>
              <w:t>d. Un representante de cada unidad académica que compone el Área de la Salud.</w:t>
            </w:r>
          </w:p>
          <w:p w14:paraId="78821A07" w14:textId="77777777" w:rsidR="008F5741" w:rsidRPr="002B35E5" w:rsidRDefault="008F5741" w:rsidP="008F5741">
            <w:pPr>
              <w:tabs>
                <w:tab w:val="left" w:pos="146"/>
              </w:tabs>
              <w:autoSpaceDE w:val="0"/>
              <w:autoSpaceDN w:val="0"/>
              <w:adjustRightInd w:val="0"/>
              <w:ind w:left="146" w:hanging="146"/>
              <w:cnfStyle w:val="000000000000" w:firstRow="0" w:lastRow="0" w:firstColumn="0" w:lastColumn="0" w:oddVBand="0" w:evenVBand="0" w:oddHBand="0" w:evenHBand="0" w:firstRowFirstColumn="0" w:firstRowLastColumn="0" w:lastRowFirstColumn="0" w:lastRowLastColumn="0"/>
              <w:rPr>
                <w:sz w:val="18"/>
              </w:rPr>
            </w:pPr>
            <w:r w:rsidRPr="002B35E5">
              <w:rPr>
                <w:sz w:val="18"/>
              </w:rPr>
              <w:t>e. Un representante de la Dirección de Planeación y Desarrollo Institucional, o quien haga sus veces</w:t>
            </w:r>
          </w:p>
          <w:p w14:paraId="322D680B" w14:textId="77777777" w:rsidR="008F5741" w:rsidRPr="002B35E5" w:rsidRDefault="008F5741" w:rsidP="008F5741">
            <w:pPr>
              <w:tabs>
                <w:tab w:val="left" w:pos="146"/>
              </w:tabs>
              <w:autoSpaceDE w:val="0"/>
              <w:autoSpaceDN w:val="0"/>
              <w:adjustRightInd w:val="0"/>
              <w:ind w:left="146" w:hanging="146"/>
              <w:cnfStyle w:val="000000000000" w:firstRow="0" w:lastRow="0" w:firstColumn="0" w:lastColumn="0" w:oddVBand="0" w:evenVBand="0" w:oddHBand="0" w:evenHBand="0" w:firstRowFirstColumn="0" w:firstRowLastColumn="0" w:lastRowFirstColumn="0" w:lastRowLastColumn="0"/>
              <w:rPr>
                <w:sz w:val="18"/>
              </w:rPr>
            </w:pPr>
            <w:r w:rsidRPr="002B35E5">
              <w:rPr>
                <w:sz w:val="18"/>
              </w:rPr>
              <w:t>f. El Jefe de la División de Infraestructura Física o quien haga sus veces</w:t>
            </w:r>
          </w:p>
          <w:p w14:paraId="12FD3E3F" w14:textId="77777777" w:rsidR="008F5741" w:rsidRPr="002B35E5" w:rsidRDefault="008F5741" w:rsidP="008F5741">
            <w:pPr>
              <w:tabs>
                <w:tab w:val="left" w:pos="146"/>
              </w:tabs>
              <w:autoSpaceDE w:val="0"/>
              <w:autoSpaceDN w:val="0"/>
              <w:adjustRightInd w:val="0"/>
              <w:ind w:left="146" w:hanging="146"/>
              <w:cnfStyle w:val="000000000000" w:firstRow="0" w:lastRow="0" w:firstColumn="0" w:lastColumn="0" w:oddVBand="0" w:evenVBand="0" w:oddHBand="0" w:evenHBand="0" w:firstRowFirstColumn="0" w:firstRowLastColumn="0" w:lastRowFirstColumn="0" w:lastRowLastColumn="0"/>
              <w:rPr>
                <w:sz w:val="18"/>
              </w:rPr>
            </w:pPr>
            <w:r w:rsidRPr="002B35E5">
              <w:rPr>
                <w:sz w:val="18"/>
              </w:rPr>
              <w:t>g. El Director Académico del Proyecto Complejo de la Salud. (</w:t>
            </w:r>
            <w:r w:rsidRPr="00D57BE8">
              <w:rPr>
                <w:sz w:val="18"/>
              </w:rPr>
              <w:t>Secretaría Técnica)</w:t>
            </w:r>
          </w:p>
          <w:p w14:paraId="1849BEF8" w14:textId="77777777" w:rsidR="008F5741" w:rsidRPr="002B35E5" w:rsidRDefault="008F5741" w:rsidP="008F5741">
            <w:pPr>
              <w:tabs>
                <w:tab w:val="left" w:pos="146"/>
              </w:tabs>
              <w:autoSpaceDE w:val="0"/>
              <w:autoSpaceDN w:val="0"/>
              <w:adjustRightInd w:val="0"/>
              <w:ind w:left="146" w:hanging="146"/>
              <w:cnfStyle w:val="000000000000" w:firstRow="0" w:lastRow="0" w:firstColumn="0" w:lastColumn="0" w:oddVBand="0" w:evenVBand="0" w:oddHBand="0" w:evenHBand="0" w:firstRowFirstColumn="0" w:firstRowLastColumn="0" w:lastRowFirstColumn="0" w:lastRowLastColumn="0"/>
              <w:rPr>
                <w:sz w:val="18"/>
              </w:rPr>
            </w:pPr>
            <w:r w:rsidRPr="002B35E5">
              <w:rPr>
                <w:sz w:val="18"/>
              </w:rPr>
              <w:t>h. El Director General del Proyecto Complejo de la Salud</w:t>
            </w:r>
          </w:p>
          <w:p w14:paraId="602FFFE4" w14:textId="77777777" w:rsidR="008F5741" w:rsidRPr="002B35E5" w:rsidRDefault="008F5741" w:rsidP="008F5741">
            <w:pPr>
              <w:tabs>
                <w:tab w:val="left" w:pos="146"/>
              </w:tabs>
              <w:autoSpaceDE w:val="0"/>
              <w:autoSpaceDN w:val="0"/>
              <w:adjustRightInd w:val="0"/>
              <w:ind w:left="146" w:hanging="146"/>
              <w:cnfStyle w:val="000000000000" w:firstRow="0" w:lastRow="0" w:firstColumn="0" w:lastColumn="0" w:oddVBand="0" w:evenVBand="0" w:oddHBand="0" w:evenHBand="0" w:firstRowFirstColumn="0" w:firstRowLastColumn="0" w:lastRowFirstColumn="0" w:lastRowLastColumn="0"/>
              <w:rPr>
                <w:sz w:val="18"/>
              </w:rPr>
            </w:pPr>
            <w:r w:rsidRPr="002B35E5">
              <w:rPr>
                <w:sz w:val="18"/>
              </w:rPr>
              <w:t>i</w:t>
            </w:r>
            <w:r w:rsidRPr="001A5CC5">
              <w:rPr>
                <w:sz w:val="18"/>
              </w:rPr>
              <w:t xml:space="preserve">. El Coordinador del Componente de Comunicación </w:t>
            </w:r>
            <w:r w:rsidRPr="002B35E5">
              <w:rPr>
                <w:sz w:val="18"/>
              </w:rPr>
              <w:t>del Proyecto Complejo de la Salud.</w:t>
            </w:r>
          </w:p>
        </w:tc>
        <w:tc>
          <w:tcPr>
            <w:tcW w:w="2268" w:type="dxa"/>
            <w:vAlign w:val="center"/>
          </w:tcPr>
          <w:p w14:paraId="2C78B8D4" w14:textId="77777777" w:rsidR="008F5741" w:rsidRPr="002B35E5" w:rsidRDefault="008F5741" w:rsidP="008F574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rPr>
            </w:pPr>
            <w:r w:rsidRPr="002B35E5">
              <w:rPr>
                <w:sz w:val="18"/>
              </w:rPr>
              <w:t>Cada ocho días de manera ordinaria</w:t>
            </w:r>
          </w:p>
        </w:tc>
      </w:tr>
      <w:tr w:rsidR="008F5741" w:rsidRPr="002B35E5" w14:paraId="6B909BC9" w14:textId="77777777" w:rsidTr="008F5741">
        <w:trPr>
          <w:cnfStyle w:val="000000100000" w:firstRow="0" w:lastRow="0" w:firstColumn="0" w:lastColumn="0" w:oddVBand="0" w:evenVBand="0" w:oddHBand="1" w:evenHBand="0" w:firstRowFirstColumn="0" w:firstRowLastColumn="0" w:lastRowFirstColumn="0" w:lastRowLastColumn="0"/>
          <w:trHeight w:val="1921"/>
        </w:trPr>
        <w:tc>
          <w:tcPr>
            <w:cnfStyle w:val="001000000000" w:firstRow="0" w:lastRow="0" w:firstColumn="1" w:lastColumn="0" w:oddVBand="0" w:evenVBand="0" w:oddHBand="0" w:evenHBand="0" w:firstRowFirstColumn="0" w:firstRowLastColumn="0" w:lastRowFirstColumn="0" w:lastRowLastColumn="0"/>
            <w:tcW w:w="1443" w:type="dxa"/>
            <w:vAlign w:val="center"/>
          </w:tcPr>
          <w:p w14:paraId="68EB2A18" w14:textId="77777777" w:rsidR="008F5741" w:rsidRPr="002B35E5" w:rsidRDefault="008F5741" w:rsidP="008F5741">
            <w:pPr>
              <w:rPr>
                <w:sz w:val="18"/>
              </w:rPr>
            </w:pPr>
            <w:r w:rsidRPr="002B35E5">
              <w:rPr>
                <w:sz w:val="18"/>
              </w:rPr>
              <w:t>Comité Técnico de obra</w:t>
            </w:r>
          </w:p>
        </w:tc>
        <w:tc>
          <w:tcPr>
            <w:tcW w:w="5220" w:type="dxa"/>
            <w:vAlign w:val="center"/>
          </w:tcPr>
          <w:p w14:paraId="20BAD860" w14:textId="77777777" w:rsidR="008F5741" w:rsidRPr="002B35E5" w:rsidRDefault="008F5741" w:rsidP="008F5741">
            <w:pPr>
              <w:tabs>
                <w:tab w:val="left" w:pos="146"/>
              </w:tabs>
              <w:autoSpaceDE w:val="0"/>
              <w:autoSpaceDN w:val="0"/>
              <w:adjustRightInd w:val="0"/>
              <w:ind w:left="146" w:hanging="146"/>
              <w:cnfStyle w:val="000000100000" w:firstRow="0" w:lastRow="0" w:firstColumn="0" w:lastColumn="0" w:oddVBand="0" w:evenVBand="0" w:oddHBand="1" w:evenHBand="0" w:firstRowFirstColumn="0" w:firstRowLastColumn="0" w:lastRowFirstColumn="0" w:lastRowLastColumn="0"/>
              <w:rPr>
                <w:sz w:val="18"/>
              </w:rPr>
            </w:pPr>
            <w:r w:rsidRPr="002B35E5">
              <w:rPr>
                <w:sz w:val="18"/>
              </w:rPr>
              <w:t>a. El Jefe de la División de Infraestructura Física, quien lo presidirá.</w:t>
            </w:r>
          </w:p>
          <w:p w14:paraId="3B0BA5CE" w14:textId="77777777" w:rsidR="008F5741" w:rsidRPr="002B35E5" w:rsidRDefault="008F5741" w:rsidP="008F5741">
            <w:pPr>
              <w:tabs>
                <w:tab w:val="left" w:pos="146"/>
              </w:tabs>
              <w:autoSpaceDE w:val="0"/>
              <w:autoSpaceDN w:val="0"/>
              <w:adjustRightInd w:val="0"/>
              <w:ind w:left="146" w:hanging="146"/>
              <w:cnfStyle w:val="000000100000" w:firstRow="0" w:lastRow="0" w:firstColumn="0" w:lastColumn="0" w:oddVBand="0" w:evenVBand="0" w:oddHBand="1" w:evenHBand="0" w:firstRowFirstColumn="0" w:firstRowLastColumn="0" w:lastRowFirstColumn="0" w:lastRowLastColumn="0"/>
              <w:rPr>
                <w:sz w:val="18"/>
              </w:rPr>
            </w:pPr>
            <w:r w:rsidRPr="002B35E5">
              <w:rPr>
                <w:sz w:val="18"/>
              </w:rPr>
              <w:t>b. Un representante de la Dirección de Planeación y Desarrollo Institucional.</w:t>
            </w:r>
          </w:p>
          <w:p w14:paraId="48E49BE3" w14:textId="77777777" w:rsidR="008F5741" w:rsidRPr="002B35E5" w:rsidRDefault="008F5741" w:rsidP="008F5741">
            <w:pPr>
              <w:tabs>
                <w:tab w:val="left" w:pos="146"/>
              </w:tabs>
              <w:autoSpaceDE w:val="0"/>
              <w:autoSpaceDN w:val="0"/>
              <w:adjustRightInd w:val="0"/>
              <w:ind w:left="146" w:hanging="146"/>
              <w:cnfStyle w:val="000000100000" w:firstRow="0" w:lastRow="0" w:firstColumn="0" w:lastColumn="0" w:oddVBand="0" w:evenVBand="0" w:oddHBand="1" w:evenHBand="0" w:firstRowFirstColumn="0" w:firstRowLastColumn="0" w:lastRowFirstColumn="0" w:lastRowLastColumn="0"/>
              <w:rPr>
                <w:sz w:val="18"/>
              </w:rPr>
            </w:pPr>
            <w:r>
              <w:rPr>
                <w:sz w:val="18"/>
              </w:rPr>
              <w:t>c</w:t>
            </w:r>
            <w:r w:rsidRPr="002B35E5">
              <w:rPr>
                <w:sz w:val="18"/>
              </w:rPr>
              <w:t>. El Director General del proyecto Complejo de la Salud.</w:t>
            </w:r>
          </w:p>
          <w:p w14:paraId="053D3B52" w14:textId="77777777" w:rsidR="008F5741" w:rsidRPr="002B35E5" w:rsidRDefault="008F5741" w:rsidP="008F5741">
            <w:pPr>
              <w:tabs>
                <w:tab w:val="left" w:pos="146"/>
              </w:tabs>
              <w:autoSpaceDE w:val="0"/>
              <w:autoSpaceDN w:val="0"/>
              <w:adjustRightInd w:val="0"/>
              <w:ind w:left="146" w:hanging="146"/>
              <w:cnfStyle w:val="000000100000" w:firstRow="0" w:lastRow="0" w:firstColumn="0" w:lastColumn="0" w:oddVBand="0" w:evenVBand="0" w:oddHBand="1" w:evenHBand="0" w:firstRowFirstColumn="0" w:firstRowLastColumn="0" w:lastRowFirstColumn="0" w:lastRowLastColumn="0"/>
              <w:rPr>
                <w:sz w:val="18"/>
              </w:rPr>
            </w:pPr>
            <w:r w:rsidRPr="002B35E5">
              <w:rPr>
                <w:sz w:val="18"/>
              </w:rPr>
              <w:t>d. La Gerencia Técnica del proyecto Complejo de la Salud. (</w:t>
            </w:r>
            <w:r w:rsidRPr="00D57BE8">
              <w:rPr>
                <w:sz w:val="18"/>
              </w:rPr>
              <w:t>Secretaría Técnica)</w:t>
            </w:r>
          </w:p>
          <w:p w14:paraId="191962D4" w14:textId="77777777" w:rsidR="008F5741" w:rsidRPr="002B35E5" w:rsidRDefault="008F5741" w:rsidP="008F5741">
            <w:pPr>
              <w:tabs>
                <w:tab w:val="left" w:pos="146"/>
              </w:tabs>
              <w:autoSpaceDE w:val="0"/>
              <w:autoSpaceDN w:val="0"/>
              <w:adjustRightInd w:val="0"/>
              <w:ind w:left="146" w:hanging="146"/>
              <w:cnfStyle w:val="000000100000" w:firstRow="0" w:lastRow="0" w:firstColumn="0" w:lastColumn="0" w:oddVBand="0" w:evenVBand="0" w:oddHBand="1" w:evenHBand="0" w:firstRowFirstColumn="0" w:firstRowLastColumn="0" w:lastRowFirstColumn="0" w:lastRowLastColumn="0"/>
              <w:rPr>
                <w:sz w:val="18"/>
              </w:rPr>
            </w:pPr>
            <w:r w:rsidRPr="002B35E5">
              <w:rPr>
                <w:sz w:val="18"/>
              </w:rPr>
              <w:t>e. El constructor de la obra.</w:t>
            </w:r>
          </w:p>
          <w:p w14:paraId="7DF10EAB" w14:textId="77777777" w:rsidR="008F5741" w:rsidRPr="002B35E5" w:rsidRDefault="008F5741" w:rsidP="008F5741">
            <w:pPr>
              <w:tabs>
                <w:tab w:val="left" w:pos="146"/>
              </w:tabs>
              <w:autoSpaceDE w:val="0"/>
              <w:autoSpaceDN w:val="0"/>
              <w:adjustRightInd w:val="0"/>
              <w:ind w:left="146" w:hanging="146"/>
              <w:cnfStyle w:val="000000100000" w:firstRow="0" w:lastRow="0" w:firstColumn="0" w:lastColumn="0" w:oddVBand="0" w:evenVBand="0" w:oddHBand="1" w:evenHBand="0" w:firstRowFirstColumn="0" w:firstRowLastColumn="0" w:lastRowFirstColumn="0" w:lastRowLastColumn="0"/>
              <w:rPr>
                <w:sz w:val="18"/>
              </w:rPr>
            </w:pPr>
            <w:r w:rsidRPr="002B35E5">
              <w:rPr>
                <w:sz w:val="18"/>
              </w:rPr>
              <w:t>f. La Interventoría</w:t>
            </w:r>
          </w:p>
        </w:tc>
        <w:tc>
          <w:tcPr>
            <w:tcW w:w="2268" w:type="dxa"/>
            <w:vAlign w:val="center"/>
          </w:tcPr>
          <w:p w14:paraId="23CCA40B" w14:textId="77777777" w:rsidR="008F5741" w:rsidRDefault="008F5741" w:rsidP="008F574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rPr>
            </w:pPr>
            <w:r w:rsidRPr="002B35E5">
              <w:rPr>
                <w:sz w:val="18"/>
              </w:rPr>
              <w:t>Cada ocho días de manera ordinaria</w:t>
            </w:r>
          </w:p>
          <w:p w14:paraId="7CBDFF74" w14:textId="77777777" w:rsidR="008F5741" w:rsidRDefault="008F5741" w:rsidP="008F574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rPr>
            </w:pPr>
          </w:p>
          <w:p w14:paraId="1FFDED98" w14:textId="77777777" w:rsidR="008F5741" w:rsidRPr="002B35E5" w:rsidRDefault="008F5741" w:rsidP="008F574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rPr>
            </w:pPr>
            <w:r>
              <w:rPr>
                <w:sz w:val="18"/>
              </w:rPr>
              <w:t>Operará en fases posteriores</w:t>
            </w:r>
          </w:p>
        </w:tc>
      </w:tr>
    </w:tbl>
    <w:p w14:paraId="25B5575F" w14:textId="7F433787" w:rsidR="008F5741" w:rsidRDefault="008F5741" w:rsidP="008F5741">
      <w:pPr>
        <w:jc w:val="both"/>
        <w:rPr>
          <w:sz w:val="22"/>
          <w:szCs w:val="22"/>
        </w:rPr>
      </w:pPr>
    </w:p>
    <w:p w14:paraId="50B63891" w14:textId="77777777" w:rsidR="00AD6455" w:rsidRPr="00D57BE8" w:rsidRDefault="00AD6455" w:rsidP="008F5741">
      <w:pPr>
        <w:jc w:val="both"/>
        <w:rPr>
          <w:sz w:val="22"/>
          <w:szCs w:val="22"/>
        </w:rPr>
      </w:pPr>
    </w:p>
    <w:p w14:paraId="38E599F9" w14:textId="43FE969D" w:rsidR="008F5741" w:rsidRDefault="008F5741" w:rsidP="008F5741">
      <w:pPr>
        <w:jc w:val="both"/>
        <w:rPr>
          <w:sz w:val="22"/>
          <w:szCs w:val="22"/>
        </w:rPr>
      </w:pPr>
      <w:r w:rsidRPr="00D57BE8">
        <w:rPr>
          <w:sz w:val="22"/>
          <w:szCs w:val="22"/>
        </w:rPr>
        <w:t xml:space="preserve">De acuerdo con la información suministrada por </w:t>
      </w:r>
      <w:r>
        <w:rPr>
          <w:sz w:val="22"/>
          <w:szCs w:val="22"/>
        </w:rPr>
        <w:t xml:space="preserve">la </w:t>
      </w:r>
      <w:r w:rsidRPr="00D57BE8">
        <w:rPr>
          <w:sz w:val="22"/>
          <w:szCs w:val="22"/>
        </w:rPr>
        <w:t>Directora General del Proyecto</w:t>
      </w:r>
      <w:r>
        <w:rPr>
          <w:sz w:val="22"/>
          <w:szCs w:val="22"/>
        </w:rPr>
        <w:t>, se observó:</w:t>
      </w:r>
    </w:p>
    <w:p w14:paraId="18E4E027" w14:textId="77777777" w:rsidR="00AD6455" w:rsidRDefault="00AD6455" w:rsidP="008F5741">
      <w:pPr>
        <w:jc w:val="both"/>
        <w:rPr>
          <w:sz w:val="22"/>
          <w:szCs w:val="22"/>
        </w:rPr>
      </w:pPr>
    </w:p>
    <w:p w14:paraId="5B50C3B7" w14:textId="77777777" w:rsidR="008F5741" w:rsidRPr="006D2878" w:rsidRDefault="008F5741" w:rsidP="008F5741">
      <w:pPr>
        <w:pStyle w:val="Prrafodelista"/>
        <w:numPr>
          <w:ilvl w:val="0"/>
          <w:numId w:val="42"/>
        </w:numPr>
        <w:jc w:val="both"/>
        <w:rPr>
          <w:i/>
          <w:sz w:val="22"/>
          <w:szCs w:val="22"/>
        </w:rPr>
      </w:pPr>
      <w:r w:rsidRPr="006D2878">
        <w:rPr>
          <w:i/>
          <w:sz w:val="22"/>
          <w:szCs w:val="22"/>
        </w:rPr>
        <w:t>El Comité Directivo, se ha reunido una vez, el 15 de marzo de 2018</w:t>
      </w:r>
    </w:p>
    <w:p w14:paraId="447130A7" w14:textId="77777777" w:rsidR="008F5741" w:rsidRPr="006D2878" w:rsidRDefault="008F5741" w:rsidP="008F5741">
      <w:pPr>
        <w:pStyle w:val="Prrafodelista"/>
        <w:numPr>
          <w:ilvl w:val="0"/>
          <w:numId w:val="42"/>
        </w:numPr>
        <w:jc w:val="both"/>
        <w:rPr>
          <w:i/>
          <w:sz w:val="22"/>
          <w:szCs w:val="22"/>
        </w:rPr>
      </w:pPr>
      <w:r w:rsidRPr="006D2878">
        <w:rPr>
          <w:i/>
          <w:sz w:val="22"/>
          <w:szCs w:val="22"/>
        </w:rPr>
        <w:t>El Comité Académico, se ha reunido en 11 ocasiones entre octubre de 2017 y mayo de 2018</w:t>
      </w:r>
    </w:p>
    <w:p w14:paraId="45644318" w14:textId="77777777" w:rsidR="008F5741" w:rsidRPr="006D2878" w:rsidRDefault="008F5741" w:rsidP="008F5741">
      <w:pPr>
        <w:pStyle w:val="Prrafodelista"/>
        <w:numPr>
          <w:ilvl w:val="0"/>
          <w:numId w:val="42"/>
        </w:numPr>
        <w:jc w:val="both"/>
        <w:rPr>
          <w:i/>
          <w:sz w:val="22"/>
          <w:szCs w:val="22"/>
        </w:rPr>
      </w:pPr>
      <w:r w:rsidRPr="006D2878">
        <w:rPr>
          <w:i/>
          <w:sz w:val="22"/>
          <w:szCs w:val="22"/>
        </w:rPr>
        <w:t xml:space="preserve">El Comité de obra, iniciará en etapa de construcción </w:t>
      </w:r>
    </w:p>
    <w:p w14:paraId="326ED40D" w14:textId="77777777" w:rsidR="008F5741" w:rsidRPr="00D57BE8" w:rsidRDefault="008F5741" w:rsidP="008F5741">
      <w:pPr>
        <w:jc w:val="both"/>
        <w:rPr>
          <w:sz w:val="22"/>
          <w:szCs w:val="22"/>
        </w:rPr>
      </w:pPr>
    </w:p>
    <w:p w14:paraId="60C9B284" w14:textId="2D347DA2" w:rsidR="008F5741" w:rsidRPr="00D57BE8" w:rsidRDefault="008F5741" w:rsidP="008F5741">
      <w:pPr>
        <w:jc w:val="both"/>
        <w:rPr>
          <w:sz w:val="22"/>
          <w:szCs w:val="22"/>
        </w:rPr>
      </w:pPr>
      <w:r w:rsidRPr="00D57BE8">
        <w:rPr>
          <w:sz w:val="22"/>
          <w:szCs w:val="22"/>
        </w:rPr>
        <w:lastRenderedPageBreak/>
        <w:t>Adi</w:t>
      </w:r>
      <w:r>
        <w:rPr>
          <w:sz w:val="22"/>
          <w:szCs w:val="22"/>
        </w:rPr>
        <w:t xml:space="preserve">cionalmente, se conformó el </w:t>
      </w:r>
      <w:r w:rsidRPr="00D57BE8">
        <w:rPr>
          <w:sz w:val="22"/>
          <w:szCs w:val="22"/>
        </w:rPr>
        <w:t xml:space="preserve">Comité de </w:t>
      </w:r>
      <w:r>
        <w:rPr>
          <w:sz w:val="22"/>
          <w:szCs w:val="22"/>
        </w:rPr>
        <w:t>S</w:t>
      </w:r>
      <w:r w:rsidRPr="00D57BE8">
        <w:rPr>
          <w:sz w:val="22"/>
          <w:szCs w:val="22"/>
        </w:rPr>
        <w:t>eguimiento</w:t>
      </w:r>
      <w:r>
        <w:rPr>
          <w:sz w:val="22"/>
          <w:szCs w:val="22"/>
        </w:rPr>
        <w:t xml:space="preserve">, y de acuerdo </w:t>
      </w:r>
      <w:r w:rsidRPr="00D57BE8">
        <w:rPr>
          <w:sz w:val="22"/>
          <w:szCs w:val="22"/>
        </w:rPr>
        <w:t xml:space="preserve">con las actas </w:t>
      </w:r>
      <w:r>
        <w:rPr>
          <w:sz w:val="22"/>
          <w:szCs w:val="22"/>
        </w:rPr>
        <w:t xml:space="preserve">entre marzo de </w:t>
      </w:r>
      <w:r w:rsidRPr="00044D79">
        <w:rPr>
          <w:sz w:val="22"/>
          <w:szCs w:val="22"/>
        </w:rPr>
        <w:t>2017</w:t>
      </w:r>
      <w:r>
        <w:rPr>
          <w:sz w:val="22"/>
          <w:szCs w:val="22"/>
        </w:rPr>
        <w:t xml:space="preserve"> y juli</w:t>
      </w:r>
      <w:r w:rsidRPr="00D57BE8">
        <w:rPr>
          <w:sz w:val="22"/>
          <w:szCs w:val="22"/>
        </w:rPr>
        <w:t>o de 2018</w:t>
      </w:r>
      <w:r>
        <w:rPr>
          <w:sz w:val="22"/>
          <w:szCs w:val="22"/>
        </w:rPr>
        <w:t xml:space="preserve"> dispone de 34</w:t>
      </w:r>
      <w:r w:rsidRPr="00D57BE8">
        <w:rPr>
          <w:sz w:val="22"/>
          <w:szCs w:val="22"/>
        </w:rPr>
        <w:t xml:space="preserve"> relatorías</w:t>
      </w:r>
      <w:r>
        <w:rPr>
          <w:sz w:val="22"/>
          <w:szCs w:val="22"/>
        </w:rPr>
        <w:t>.</w:t>
      </w:r>
    </w:p>
    <w:p w14:paraId="34D249D8" w14:textId="77777777" w:rsidR="008F5741" w:rsidRDefault="008F5741" w:rsidP="008F5741">
      <w:pPr>
        <w:rPr>
          <w:color w:val="FF0000"/>
          <w:sz w:val="22"/>
          <w:szCs w:val="22"/>
          <w:highlight w:val="yellow"/>
        </w:rPr>
      </w:pPr>
    </w:p>
    <w:p w14:paraId="61352D1A" w14:textId="77777777" w:rsidR="008F5741" w:rsidRPr="00EB4203" w:rsidRDefault="008F5741" w:rsidP="008F5741">
      <w:pPr>
        <w:rPr>
          <w:b/>
          <w:color w:val="385623" w:themeColor="accent6" w:themeShade="80"/>
          <w:sz w:val="22"/>
        </w:rPr>
      </w:pPr>
      <w:r>
        <w:rPr>
          <w:b/>
          <w:color w:val="385623" w:themeColor="accent6" w:themeShade="80"/>
          <w:sz w:val="22"/>
        </w:rPr>
        <w:t>Observación</w:t>
      </w:r>
    </w:p>
    <w:p w14:paraId="5010294B" w14:textId="77777777" w:rsidR="008F5741" w:rsidRDefault="008F5741" w:rsidP="008F5741">
      <w:pPr>
        <w:jc w:val="both"/>
        <w:rPr>
          <w:sz w:val="22"/>
          <w:szCs w:val="22"/>
        </w:rPr>
      </w:pPr>
      <w:r>
        <w:rPr>
          <w:sz w:val="22"/>
          <w:szCs w:val="22"/>
        </w:rPr>
        <w:t>Se evidencia débil</w:t>
      </w:r>
      <w:r w:rsidRPr="002720CD">
        <w:rPr>
          <w:sz w:val="22"/>
          <w:szCs w:val="22"/>
        </w:rPr>
        <w:t xml:space="preserve"> cumplimiento </w:t>
      </w:r>
      <w:r>
        <w:rPr>
          <w:sz w:val="22"/>
          <w:szCs w:val="22"/>
        </w:rPr>
        <w:t>en</w:t>
      </w:r>
      <w:r w:rsidRPr="002720CD">
        <w:rPr>
          <w:sz w:val="22"/>
          <w:szCs w:val="22"/>
        </w:rPr>
        <w:t xml:space="preserve"> la periodicidad </w:t>
      </w:r>
      <w:r>
        <w:rPr>
          <w:sz w:val="22"/>
          <w:szCs w:val="22"/>
        </w:rPr>
        <w:t>de reuniones establecidas en</w:t>
      </w:r>
      <w:r w:rsidRPr="002720CD">
        <w:rPr>
          <w:sz w:val="22"/>
          <w:szCs w:val="22"/>
        </w:rPr>
        <w:t xml:space="preserve"> la</w:t>
      </w:r>
      <w:r>
        <w:rPr>
          <w:sz w:val="22"/>
          <w:szCs w:val="22"/>
        </w:rPr>
        <w:t xml:space="preserve"> normativa, así:</w:t>
      </w:r>
    </w:p>
    <w:p w14:paraId="170D13D7" w14:textId="1B4FF2BD" w:rsidR="008F5741" w:rsidRDefault="008F5741" w:rsidP="008F5741">
      <w:pPr>
        <w:jc w:val="both"/>
        <w:rPr>
          <w:sz w:val="22"/>
          <w:szCs w:val="22"/>
        </w:rPr>
      </w:pPr>
    </w:p>
    <w:p w14:paraId="6BBEE0AA" w14:textId="77777777" w:rsidR="008F5741" w:rsidRPr="004A4BD6" w:rsidRDefault="008F5741" w:rsidP="008F5741">
      <w:pPr>
        <w:pStyle w:val="Prrafodelista"/>
        <w:numPr>
          <w:ilvl w:val="0"/>
          <w:numId w:val="45"/>
        </w:numPr>
        <w:ind w:left="426" w:hanging="284"/>
        <w:rPr>
          <w:b/>
          <w:color w:val="385623" w:themeColor="accent6" w:themeShade="80"/>
          <w:sz w:val="20"/>
          <w:szCs w:val="20"/>
        </w:rPr>
      </w:pPr>
      <w:r w:rsidRPr="004A4BD6">
        <w:rPr>
          <w:b/>
          <w:color w:val="385623" w:themeColor="accent6" w:themeShade="80"/>
          <w:sz w:val="20"/>
          <w:szCs w:val="20"/>
        </w:rPr>
        <w:t>Comité Directivo Administrativo y Financiero</w:t>
      </w:r>
    </w:p>
    <w:p w14:paraId="14BDD77E" w14:textId="77777777" w:rsidR="008F5741" w:rsidRDefault="008F5741" w:rsidP="008F5741">
      <w:pPr>
        <w:pStyle w:val="Prrafodelista"/>
        <w:ind w:left="0"/>
        <w:jc w:val="center"/>
        <w:rPr>
          <w:sz w:val="22"/>
          <w:szCs w:val="22"/>
        </w:rPr>
      </w:pPr>
    </w:p>
    <w:tbl>
      <w:tblPr>
        <w:tblStyle w:val="Tabladecuadrcula2-nfasis6"/>
        <w:tblW w:w="0" w:type="auto"/>
        <w:jc w:val="right"/>
        <w:tblLayout w:type="fixed"/>
        <w:tblLook w:val="04A0" w:firstRow="1" w:lastRow="0" w:firstColumn="1" w:lastColumn="0" w:noHBand="0" w:noVBand="1"/>
      </w:tblPr>
      <w:tblGrid>
        <w:gridCol w:w="2268"/>
        <w:gridCol w:w="2269"/>
        <w:gridCol w:w="708"/>
        <w:gridCol w:w="1134"/>
        <w:gridCol w:w="993"/>
        <w:gridCol w:w="1275"/>
      </w:tblGrid>
      <w:tr w:rsidR="008F5741" w:rsidRPr="00A665B1" w14:paraId="32A4FA06" w14:textId="77777777" w:rsidTr="008F5741">
        <w:trPr>
          <w:cnfStyle w:val="100000000000" w:firstRow="1" w:lastRow="0" w:firstColumn="0" w:lastColumn="0" w:oddVBand="0" w:evenVBand="0" w:oddHBand="0" w:evenHBand="0" w:firstRowFirstColumn="0" w:firstRowLastColumn="0" w:lastRowFirstColumn="0" w:lastRowLastColumn="0"/>
          <w:trHeight w:val="467"/>
          <w:jc w:val="right"/>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200A875" w14:textId="77777777" w:rsidR="008F5741" w:rsidRPr="00AD6455" w:rsidRDefault="008F5741" w:rsidP="008F5741">
            <w:pPr>
              <w:pStyle w:val="Prrafodelista"/>
              <w:ind w:left="0"/>
              <w:jc w:val="center"/>
              <w:rPr>
                <w:i/>
                <w:sz w:val="16"/>
                <w:szCs w:val="18"/>
              </w:rPr>
            </w:pPr>
            <w:r w:rsidRPr="00AD6455">
              <w:rPr>
                <w:i/>
                <w:sz w:val="16"/>
                <w:szCs w:val="18"/>
              </w:rPr>
              <w:t>Acto Administrativo</w:t>
            </w:r>
          </w:p>
        </w:tc>
        <w:tc>
          <w:tcPr>
            <w:tcW w:w="2269" w:type="dxa"/>
            <w:vAlign w:val="center"/>
          </w:tcPr>
          <w:p w14:paraId="7E4B665E" w14:textId="77777777" w:rsidR="008F5741" w:rsidRPr="00AD6455" w:rsidRDefault="008F5741" w:rsidP="008F5741">
            <w:pPr>
              <w:pStyle w:val="Prrafodelista"/>
              <w:ind w:left="0"/>
              <w:jc w:val="center"/>
              <w:cnfStyle w:val="100000000000" w:firstRow="1" w:lastRow="0" w:firstColumn="0" w:lastColumn="0" w:oddVBand="0" w:evenVBand="0" w:oddHBand="0" w:evenHBand="0" w:firstRowFirstColumn="0" w:firstRowLastColumn="0" w:lastRowFirstColumn="0" w:lastRowLastColumn="0"/>
              <w:rPr>
                <w:i/>
                <w:sz w:val="16"/>
                <w:szCs w:val="18"/>
              </w:rPr>
            </w:pPr>
            <w:r w:rsidRPr="00AD6455">
              <w:rPr>
                <w:i/>
                <w:sz w:val="16"/>
                <w:szCs w:val="18"/>
              </w:rPr>
              <w:t>Periodicidad Normativa</w:t>
            </w:r>
          </w:p>
        </w:tc>
        <w:tc>
          <w:tcPr>
            <w:tcW w:w="708" w:type="dxa"/>
            <w:vAlign w:val="center"/>
          </w:tcPr>
          <w:p w14:paraId="2DA32A7F" w14:textId="77777777" w:rsidR="008F5741" w:rsidRPr="00AD6455" w:rsidRDefault="008F5741" w:rsidP="008F5741">
            <w:pPr>
              <w:pStyle w:val="Prrafodelista"/>
              <w:ind w:left="0"/>
              <w:jc w:val="center"/>
              <w:cnfStyle w:val="100000000000" w:firstRow="1" w:lastRow="0" w:firstColumn="0" w:lastColumn="0" w:oddVBand="0" w:evenVBand="0" w:oddHBand="0" w:evenHBand="0" w:firstRowFirstColumn="0" w:firstRowLastColumn="0" w:lastRowFirstColumn="0" w:lastRowLastColumn="0"/>
              <w:rPr>
                <w:i/>
                <w:sz w:val="16"/>
                <w:szCs w:val="18"/>
              </w:rPr>
            </w:pPr>
            <w:r w:rsidRPr="00AD6455">
              <w:rPr>
                <w:i/>
                <w:sz w:val="16"/>
                <w:szCs w:val="18"/>
              </w:rPr>
              <w:t>Año</w:t>
            </w:r>
          </w:p>
        </w:tc>
        <w:tc>
          <w:tcPr>
            <w:tcW w:w="1134" w:type="dxa"/>
            <w:vAlign w:val="center"/>
          </w:tcPr>
          <w:p w14:paraId="67A217D6" w14:textId="77777777" w:rsidR="008F5741" w:rsidRPr="00AD6455" w:rsidRDefault="008F5741" w:rsidP="008F5741">
            <w:pPr>
              <w:pStyle w:val="Prrafodelista"/>
              <w:ind w:left="0"/>
              <w:jc w:val="center"/>
              <w:cnfStyle w:val="100000000000" w:firstRow="1" w:lastRow="0" w:firstColumn="0" w:lastColumn="0" w:oddVBand="0" w:evenVBand="0" w:oddHBand="0" w:evenHBand="0" w:firstRowFirstColumn="0" w:firstRowLastColumn="0" w:lastRowFirstColumn="0" w:lastRowLastColumn="0"/>
              <w:rPr>
                <w:i/>
                <w:sz w:val="16"/>
                <w:szCs w:val="18"/>
              </w:rPr>
            </w:pPr>
            <w:r w:rsidRPr="00AD6455">
              <w:rPr>
                <w:i/>
                <w:sz w:val="16"/>
                <w:szCs w:val="18"/>
              </w:rPr>
              <w:t>Reuniones Normativas</w:t>
            </w:r>
          </w:p>
        </w:tc>
        <w:tc>
          <w:tcPr>
            <w:tcW w:w="993" w:type="dxa"/>
            <w:vAlign w:val="center"/>
          </w:tcPr>
          <w:p w14:paraId="50795471" w14:textId="77777777" w:rsidR="008F5741" w:rsidRPr="00AD6455" w:rsidRDefault="008F5741" w:rsidP="008F5741">
            <w:pPr>
              <w:pStyle w:val="Prrafodelista"/>
              <w:ind w:left="0"/>
              <w:jc w:val="center"/>
              <w:cnfStyle w:val="100000000000" w:firstRow="1" w:lastRow="0" w:firstColumn="0" w:lastColumn="0" w:oddVBand="0" w:evenVBand="0" w:oddHBand="0" w:evenHBand="0" w:firstRowFirstColumn="0" w:firstRowLastColumn="0" w:lastRowFirstColumn="0" w:lastRowLastColumn="0"/>
              <w:rPr>
                <w:i/>
                <w:sz w:val="16"/>
                <w:szCs w:val="18"/>
              </w:rPr>
            </w:pPr>
            <w:r w:rsidRPr="00AD6455">
              <w:rPr>
                <w:i/>
                <w:sz w:val="16"/>
                <w:szCs w:val="18"/>
              </w:rPr>
              <w:t>Reuniones</w:t>
            </w:r>
          </w:p>
          <w:p w14:paraId="59A95BE0" w14:textId="77777777" w:rsidR="008F5741" w:rsidRPr="00AD6455" w:rsidRDefault="008F5741" w:rsidP="008F5741">
            <w:pPr>
              <w:pStyle w:val="Prrafodelista"/>
              <w:ind w:left="0"/>
              <w:jc w:val="center"/>
              <w:cnfStyle w:val="100000000000" w:firstRow="1" w:lastRow="0" w:firstColumn="0" w:lastColumn="0" w:oddVBand="0" w:evenVBand="0" w:oddHBand="0" w:evenHBand="0" w:firstRowFirstColumn="0" w:firstRowLastColumn="0" w:lastRowFirstColumn="0" w:lastRowLastColumn="0"/>
              <w:rPr>
                <w:i/>
                <w:sz w:val="16"/>
                <w:szCs w:val="18"/>
              </w:rPr>
            </w:pPr>
            <w:r w:rsidRPr="00AD6455">
              <w:rPr>
                <w:i/>
                <w:sz w:val="16"/>
                <w:szCs w:val="18"/>
              </w:rPr>
              <w:t>Realizadas</w:t>
            </w:r>
          </w:p>
        </w:tc>
        <w:tc>
          <w:tcPr>
            <w:tcW w:w="1275" w:type="dxa"/>
            <w:vAlign w:val="center"/>
          </w:tcPr>
          <w:p w14:paraId="51367EA2" w14:textId="77777777" w:rsidR="008F5741" w:rsidRPr="00AD6455" w:rsidRDefault="008F5741" w:rsidP="008F5741">
            <w:pPr>
              <w:pStyle w:val="Prrafodelista"/>
              <w:ind w:left="0"/>
              <w:jc w:val="center"/>
              <w:cnfStyle w:val="100000000000" w:firstRow="1" w:lastRow="0" w:firstColumn="0" w:lastColumn="0" w:oddVBand="0" w:evenVBand="0" w:oddHBand="0" w:evenHBand="0" w:firstRowFirstColumn="0" w:firstRowLastColumn="0" w:lastRowFirstColumn="0" w:lastRowLastColumn="0"/>
              <w:rPr>
                <w:i/>
                <w:sz w:val="16"/>
                <w:szCs w:val="18"/>
              </w:rPr>
            </w:pPr>
            <w:r w:rsidRPr="00AD6455">
              <w:rPr>
                <w:i/>
                <w:sz w:val="16"/>
                <w:szCs w:val="18"/>
              </w:rPr>
              <w:t>Nivel de Cumplimiento</w:t>
            </w:r>
          </w:p>
        </w:tc>
      </w:tr>
      <w:tr w:rsidR="008F5741" w:rsidRPr="00A665B1" w14:paraId="4294D675" w14:textId="77777777" w:rsidTr="00A665B1">
        <w:trPr>
          <w:cnfStyle w:val="000000100000" w:firstRow="0" w:lastRow="0" w:firstColumn="0" w:lastColumn="0" w:oddVBand="0" w:evenVBand="0" w:oddHBand="1" w:evenHBand="0" w:firstRowFirstColumn="0" w:firstRowLastColumn="0" w:lastRowFirstColumn="0" w:lastRowLastColumn="0"/>
          <w:trHeight w:val="227"/>
          <w:jc w:val="right"/>
        </w:trPr>
        <w:tc>
          <w:tcPr>
            <w:cnfStyle w:val="001000000000" w:firstRow="0" w:lastRow="0" w:firstColumn="1" w:lastColumn="0" w:oddVBand="0" w:evenVBand="0" w:oddHBand="0" w:evenHBand="0" w:firstRowFirstColumn="0" w:firstRowLastColumn="0" w:lastRowFirstColumn="0" w:lastRowLastColumn="0"/>
            <w:tcW w:w="2268" w:type="dxa"/>
            <w:vMerge w:val="restart"/>
            <w:vAlign w:val="center"/>
          </w:tcPr>
          <w:p w14:paraId="7E18849A" w14:textId="77777777" w:rsidR="008F5741" w:rsidRPr="00A665B1" w:rsidRDefault="008F5741" w:rsidP="008F5741">
            <w:pPr>
              <w:pStyle w:val="Prrafodelista"/>
              <w:ind w:left="0"/>
              <w:rPr>
                <w:b w:val="0"/>
                <w:sz w:val="18"/>
                <w:szCs w:val="18"/>
              </w:rPr>
            </w:pPr>
            <w:r w:rsidRPr="00A665B1">
              <w:rPr>
                <w:b w:val="0"/>
                <w:sz w:val="18"/>
                <w:szCs w:val="18"/>
              </w:rPr>
              <w:t>RR 43331 - 7/sep./2017</w:t>
            </w:r>
          </w:p>
        </w:tc>
        <w:tc>
          <w:tcPr>
            <w:tcW w:w="2269" w:type="dxa"/>
            <w:vMerge w:val="restart"/>
            <w:vAlign w:val="center"/>
          </w:tcPr>
          <w:p w14:paraId="0DA412A4" w14:textId="77777777" w:rsidR="008F5741" w:rsidRPr="00A665B1" w:rsidRDefault="008F5741" w:rsidP="008F5741">
            <w:pPr>
              <w:pStyle w:val="Prrafodelista"/>
              <w:ind w:left="0" w:right="18"/>
              <w:jc w:val="center"/>
              <w:cnfStyle w:val="000000100000" w:firstRow="0" w:lastRow="0" w:firstColumn="0" w:lastColumn="0" w:oddVBand="0" w:evenVBand="0" w:oddHBand="1" w:evenHBand="0" w:firstRowFirstColumn="0" w:firstRowLastColumn="0" w:lastRowFirstColumn="0" w:lastRowLastColumn="0"/>
              <w:rPr>
                <w:sz w:val="18"/>
                <w:szCs w:val="18"/>
              </w:rPr>
            </w:pPr>
            <w:r w:rsidRPr="00A665B1">
              <w:rPr>
                <w:sz w:val="18"/>
                <w:szCs w:val="18"/>
              </w:rPr>
              <w:t>Una mensual</w:t>
            </w:r>
          </w:p>
        </w:tc>
        <w:tc>
          <w:tcPr>
            <w:tcW w:w="708" w:type="dxa"/>
            <w:vAlign w:val="center"/>
          </w:tcPr>
          <w:p w14:paraId="6A6BD972" w14:textId="77777777" w:rsidR="008F5741" w:rsidRPr="00A665B1" w:rsidRDefault="008F5741" w:rsidP="008F5741">
            <w:pPr>
              <w:pStyle w:val="Prrafodelista"/>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A665B1">
              <w:rPr>
                <w:sz w:val="18"/>
                <w:szCs w:val="18"/>
              </w:rPr>
              <w:t>2017</w:t>
            </w:r>
          </w:p>
        </w:tc>
        <w:tc>
          <w:tcPr>
            <w:tcW w:w="1134" w:type="dxa"/>
            <w:vAlign w:val="center"/>
          </w:tcPr>
          <w:p w14:paraId="4681C946" w14:textId="77777777" w:rsidR="008F5741" w:rsidRPr="00A665B1" w:rsidRDefault="008F5741" w:rsidP="008F5741">
            <w:pPr>
              <w:pStyle w:val="Prrafodelista"/>
              <w:ind w:left="0" w:right="316"/>
              <w:jc w:val="right"/>
              <w:cnfStyle w:val="000000100000" w:firstRow="0" w:lastRow="0" w:firstColumn="0" w:lastColumn="0" w:oddVBand="0" w:evenVBand="0" w:oddHBand="1" w:evenHBand="0" w:firstRowFirstColumn="0" w:firstRowLastColumn="0" w:lastRowFirstColumn="0" w:lastRowLastColumn="0"/>
              <w:rPr>
                <w:sz w:val="18"/>
                <w:szCs w:val="18"/>
              </w:rPr>
            </w:pPr>
            <w:r w:rsidRPr="00A665B1">
              <w:rPr>
                <w:sz w:val="18"/>
                <w:szCs w:val="18"/>
              </w:rPr>
              <w:t>4</w:t>
            </w:r>
          </w:p>
        </w:tc>
        <w:tc>
          <w:tcPr>
            <w:tcW w:w="993" w:type="dxa"/>
            <w:vAlign w:val="center"/>
          </w:tcPr>
          <w:p w14:paraId="7C135A9E" w14:textId="77777777" w:rsidR="008F5741" w:rsidRPr="00A665B1" w:rsidRDefault="008F5741" w:rsidP="008F5741">
            <w:pPr>
              <w:pStyle w:val="Prrafodelista"/>
              <w:ind w:left="0" w:right="316"/>
              <w:jc w:val="right"/>
              <w:cnfStyle w:val="000000100000" w:firstRow="0" w:lastRow="0" w:firstColumn="0" w:lastColumn="0" w:oddVBand="0" w:evenVBand="0" w:oddHBand="1" w:evenHBand="0" w:firstRowFirstColumn="0" w:firstRowLastColumn="0" w:lastRowFirstColumn="0" w:lastRowLastColumn="0"/>
              <w:rPr>
                <w:sz w:val="18"/>
                <w:szCs w:val="18"/>
              </w:rPr>
            </w:pPr>
            <w:r w:rsidRPr="00A665B1">
              <w:rPr>
                <w:sz w:val="18"/>
                <w:szCs w:val="18"/>
              </w:rPr>
              <w:t>0</w:t>
            </w:r>
          </w:p>
        </w:tc>
        <w:tc>
          <w:tcPr>
            <w:tcW w:w="1275" w:type="dxa"/>
            <w:vAlign w:val="center"/>
          </w:tcPr>
          <w:p w14:paraId="0D885796" w14:textId="77777777" w:rsidR="008F5741" w:rsidRPr="00AD6455" w:rsidRDefault="008F5741" w:rsidP="008F5741">
            <w:pPr>
              <w:pStyle w:val="Prrafodelista"/>
              <w:ind w:left="0" w:right="173"/>
              <w:jc w:val="right"/>
              <w:cnfStyle w:val="000000100000" w:firstRow="0" w:lastRow="0" w:firstColumn="0" w:lastColumn="0" w:oddVBand="0" w:evenVBand="0" w:oddHBand="1" w:evenHBand="0" w:firstRowFirstColumn="0" w:firstRowLastColumn="0" w:lastRowFirstColumn="0" w:lastRowLastColumn="0"/>
              <w:rPr>
                <w:sz w:val="18"/>
                <w:szCs w:val="18"/>
              </w:rPr>
            </w:pPr>
            <w:r w:rsidRPr="00AD6455">
              <w:rPr>
                <w:color w:val="000000"/>
                <w:sz w:val="18"/>
                <w:szCs w:val="18"/>
              </w:rPr>
              <w:t>0,00%</w:t>
            </w:r>
          </w:p>
        </w:tc>
      </w:tr>
      <w:tr w:rsidR="008F5741" w:rsidRPr="00A665B1" w14:paraId="237531CD" w14:textId="77777777" w:rsidTr="00A665B1">
        <w:trPr>
          <w:trHeight w:val="227"/>
          <w:jc w:val="right"/>
        </w:trPr>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62F40C7C" w14:textId="77777777" w:rsidR="008F5741" w:rsidRPr="00A665B1" w:rsidRDefault="008F5741" w:rsidP="008F5741">
            <w:pPr>
              <w:pStyle w:val="Prrafodelista"/>
              <w:ind w:left="0"/>
              <w:rPr>
                <w:b w:val="0"/>
                <w:sz w:val="18"/>
                <w:szCs w:val="18"/>
              </w:rPr>
            </w:pPr>
          </w:p>
        </w:tc>
        <w:tc>
          <w:tcPr>
            <w:tcW w:w="2269" w:type="dxa"/>
            <w:vMerge/>
            <w:vAlign w:val="center"/>
          </w:tcPr>
          <w:p w14:paraId="478FE3E9" w14:textId="77777777" w:rsidR="008F5741" w:rsidRPr="00A665B1" w:rsidRDefault="008F5741" w:rsidP="008F5741">
            <w:pPr>
              <w:pStyle w:val="Prrafodelista"/>
              <w:ind w:left="0" w:right="316"/>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8" w:type="dxa"/>
            <w:vAlign w:val="center"/>
          </w:tcPr>
          <w:p w14:paraId="76274CF0" w14:textId="77777777" w:rsidR="008F5741" w:rsidRPr="00A665B1" w:rsidRDefault="008F5741" w:rsidP="008F5741">
            <w:pPr>
              <w:pStyle w:val="Prrafodelista"/>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A665B1">
              <w:rPr>
                <w:sz w:val="18"/>
                <w:szCs w:val="18"/>
              </w:rPr>
              <w:t>2018</w:t>
            </w:r>
          </w:p>
        </w:tc>
        <w:tc>
          <w:tcPr>
            <w:tcW w:w="1134" w:type="dxa"/>
            <w:vAlign w:val="center"/>
          </w:tcPr>
          <w:p w14:paraId="5CBF9796" w14:textId="77777777" w:rsidR="008F5741" w:rsidRPr="00A665B1" w:rsidRDefault="008F5741" w:rsidP="008F5741">
            <w:pPr>
              <w:pStyle w:val="Prrafodelista"/>
              <w:ind w:left="0" w:right="316"/>
              <w:jc w:val="right"/>
              <w:cnfStyle w:val="000000000000" w:firstRow="0" w:lastRow="0" w:firstColumn="0" w:lastColumn="0" w:oddVBand="0" w:evenVBand="0" w:oddHBand="0" w:evenHBand="0" w:firstRowFirstColumn="0" w:firstRowLastColumn="0" w:lastRowFirstColumn="0" w:lastRowLastColumn="0"/>
              <w:rPr>
                <w:sz w:val="18"/>
                <w:szCs w:val="18"/>
              </w:rPr>
            </w:pPr>
            <w:r w:rsidRPr="00A665B1">
              <w:rPr>
                <w:sz w:val="18"/>
                <w:szCs w:val="18"/>
              </w:rPr>
              <w:t>3</w:t>
            </w:r>
          </w:p>
        </w:tc>
        <w:tc>
          <w:tcPr>
            <w:tcW w:w="993" w:type="dxa"/>
            <w:vAlign w:val="center"/>
          </w:tcPr>
          <w:p w14:paraId="3D272DD5" w14:textId="77777777" w:rsidR="008F5741" w:rsidRPr="00A665B1" w:rsidRDefault="008F5741" w:rsidP="008F5741">
            <w:pPr>
              <w:pStyle w:val="Prrafodelista"/>
              <w:ind w:left="0" w:right="316"/>
              <w:jc w:val="right"/>
              <w:cnfStyle w:val="000000000000" w:firstRow="0" w:lastRow="0" w:firstColumn="0" w:lastColumn="0" w:oddVBand="0" w:evenVBand="0" w:oddHBand="0" w:evenHBand="0" w:firstRowFirstColumn="0" w:firstRowLastColumn="0" w:lastRowFirstColumn="0" w:lastRowLastColumn="0"/>
              <w:rPr>
                <w:sz w:val="18"/>
                <w:szCs w:val="18"/>
              </w:rPr>
            </w:pPr>
            <w:r w:rsidRPr="00A665B1">
              <w:rPr>
                <w:sz w:val="18"/>
                <w:szCs w:val="18"/>
              </w:rPr>
              <w:t>1</w:t>
            </w:r>
          </w:p>
        </w:tc>
        <w:tc>
          <w:tcPr>
            <w:tcW w:w="1275" w:type="dxa"/>
            <w:vAlign w:val="center"/>
          </w:tcPr>
          <w:p w14:paraId="23162424" w14:textId="77777777" w:rsidR="008F5741" w:rsidRPr="00AD6455" w:rsidRDefault="008F5741" w:rsidP="008F5741">
            <w:pPr>
              <w:pStyle w:val="Prrafodelista"/>
              <w:ind w:left="0" w:right="173"/>
              <w:jc w:val="right"/>
              <w:cnfStyle w:val="000000000000" w:firstRow="0" w:lastRow="0" w:firstColumn="0" w:lastColumn="0" w:oddVBand="0" w:evenVBand="0" w:oddHBand="0" w:evenHBand="0" w:firstRowFirstColumn="0" w:firstRowLastColumn="0" w:lastRowFirstColumn="0" w:lastRowLastColumn="0"/>
              <w:rPr>
                <w:sz w:val="18"/>
                <w:szCs w:val="18"/>
              </w:rPr>
            </w:pPr>
            <w:r w:rsidRPr="00AD6455">
              <w:rPr>
                <w:color w:val="000000"/>
                <w:sz w:val="18"/>
                <w:szCs w:val="18"/>
              </w:rPr>
              <w:t>33,33%</w:t>
            </w:r>
          </w:p>
        </w:tc>
      </w:tr>
      <w:tr w:rsidR="008F5741" w:rsidRPr="00A665B1" w14:paraId="7695EFAB" w14:textId="77777777" w:rsidTr="00A665B1">
        <w:trPr>
          <w:cnfStyle w:val="000000100000" w:firstRow="0" w:lastRow="0" w:firstColumn="0" w:lastColumn="0" w:oddVBand="0" w:evenVBand="0" w:oddHBand="1" w:evenHBand="0" w:firstRowFirstColumn="0" w:firstRowLastColumn="0" w:lastRowFirstColumn="0" w:lastRowLastColumn="0"/>
          <w:trHeight w:val="283"/>
          <w:jc w:val="right"/>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2044C34" w14:textId="77777777" w:rsidR="008F5741" w:rsidRPr="00A665B1" w:rsidRDefault="008F5741" w:rsidP="008F5741">
            <w:pPr>
              <w:pStyle w:val="Prrafodelista"/>
              <w:ind w:left="0"/>
              <w:rPr>
                <w:b w:val="0"/>
                <w:sz w:val="18"/>
                <w:szCs w:val="18"/>
              </w:rPr>
            </w:pPr>
            <w:r w:rsidRPr="00A665B1">
              <w:rPr>
                <w:b w:val="0"/>
                <w:sz w:val="18"/>
                <w:szCs w:val="18"/>
              </w:rPr>
              <w:t>RR 44139 - 3/abr/2018</w:t>
            </w:r>
          </w:p>
        </w:tc>
        <w:tc>
          <w:tcPr>
            <w:tcW w:w="2269" w:type="dxa"/>
            <w:vAlign w:val="center"/>
          </w:tcPr>
          <w:p w14:paraId="59EC52B6" w14:textId="77777777" w:rsidR="008F5741" w:rsidRPr="00A665B1" w:rsidRDefault="008F5741" w:rsidP="008F5741">
            <w:pPr>
              <w:pStyle w:val="Prrafodelista"/>
              <w:ind w:left="0" w:right="18"/>
              <w:jc w:val="center"/>
              <w:cnfStyle w:val="000000100000" w:firstRow="0" w:lastRow="0" w:firstColumn="0" w:lastColumn="0" w:oddVBand="0" w:evenVBand="0" w:oddHBand="1" w:evenHBand="0" w:firstRowFirstColumn="0" w:firstRowLastColumn="0" w:lastRowFirstColumn="0" w:lastRowLastColumn="0"/>
              <w:rPr>
                <w:sz w:val="18"/>
                <w:szCs w:val="18"/>
              </w:rPr>
            </w:pPr>
            <w:r w:rsidRPr="00A665B1">
              <w:rPr>
                <w:sz w:val="18"/>
                <w:szCs w:val="18"/>
              </w:rPr>
              <w:t xml:space="preserve">Ordinaria cada 2 meses </w:t>
            </w:r>
          </w:p>
        </w:tc>
        <w:tc>
          <w:tcPr>
            <w:tcW w:w="708" w:type="dxa"/>
            <w:vAlign w:val="center"/>
          </w:tcPr>
          <w:p w14:paraId="5A2DF891" w14:textId="77777777" w:rsidR="008F5741" w:rsidRPr="00A665B1" w:rsidRDefault="008F5741" w:rsidP="008F5741">
            <w:pPr>
              <w:pStyle w:val="Prrafodelista"/>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A665B1">
              <w:rPr>
                <w:sz w:val="18"/>
                <w:szCs w:val="18"/>
              </w:rPr>
              <w:t>2018</w:t>
            </w:r>
          </w:p>
        </w:tc>
        <w:tc>
          <w:tcPr>
            <w:tcW w:w="1134" w:type="dxa"/>
            <w:vAlign w:val="center"/>
          </w:tcPr>
          <w:p w14:paraId="30A5B475" w14:textId="77777777" w:rsidR="008F5741" w:rsidRPr="00A665B1" w:rsidRDefault="008F5741" w:rsidP="008F5741">
            <w:pPr>
              <w:pStyle w:val="Prrafodelista"/>
              <w:ind w:left="0" w:right="316"/>
              <w:jc w:val="right"/>
              <w:cnfStyle w:val="000000100000" w:firstRow="0" w:lastRow="0" w:firstColumn="0" w:lastColumn="0" w:oddVBand="0" w:evenVBand="0" w:oddHBand="1" w:evenHBand="0" w:firstRowFirstColumn="0" w:firstRowLastColumn="0" w:lastRowFirstColumn="0" w:lastRowLastColumn="0"/>
              <w:rPr>
                <w:sz w:val="18"/>
                <w:szCs w:val="18"/>
              </w:rPr>
            </w:pPr>
            <w:r w:rsidRPr="00A665B1">
              <w:rPr>
                <w:sz w:val="18"/>
                <w:szCs w:val="18"/>
              </w:rPr>
              <w:t>2</w:t>
            </w:r>
          </w:p>
        </w:tc>
        <w:tc>
          <w:tcPr>
            <w:tcW w:w="993" w:type="dxa"/>
            <w:vAlign w:val="center"/>
          </w:tcPr>
          <w:p w14:paraId="6008C7EA" w14:textId="77777777" w:rsidR="008F5741" w:rsidRPr="00A665B1" w:rsidRDefault="008F5741" w:rsidP="008F5741">
            <w:pPr>
              <w:pStyle w:val="Prrafodelista"/>
              <w:ind w:left="0" w:right="316"/>
              <w:jc w:val="right"/>
              <w:cnfStyle w:val="000000100000" w:firstRow="0" w:lastRow="0" w:firstColumn="0" w:lastColumn="0" w:oddVBand="0" w:evenVBand="0" w:oddHBand="1" w:evenHBand="0" w:firstRowFirstColumn="0" w:firstRowLastColumn="0" w:lastRowFirstColumn="0" w:lastRowLastColumn="0"/>
              <w:rPr>
                <w:sz w:val="18"/>
                <w:szCs w:val="18"/>
              </w:rPr>
            </w:pPr>
            <w:r w:rsidRPr="00A665B1">
              <w:rPr>
                <w:sz w:val="18"/>
                <w:szCs w:val="18"/>
              </w:rPr>
              <w:t>0</w:t>
            </w:r>
          </w:p>
        </w:tc>
        <w:tc>
          <w:tcPr>
            <w:tcW w:w="1275" w:type="dxa"/>
            <w:vAlign w:val="center"/>
          </w:tcPr>
          <w:p w14:paraId="4BEA4CED" w14:textId="77777777" w:rsidR="008F5741" w:rsidRPr="00AD6455" w:rsidRDefault="008F5741" w:rsidP="008F5741">
            <w:pPr>
              <w:pStyle w:val="Prrafodelista"/>
              <w:ind w:left="0" w:right="173"/>
              <w:jc w:val="right"/>
              <w:cnfStyle w:val="000000100000" w:firstRow="0" w:lastRow="0" w:firstColumn="0" w:lastColumn="0" w:oddVBand="0" w:evenVBand="0" w:oddHBand="1" w:evenHBand="0" w:firstRowFirstColumn="0" w:firstRowLastColumn="0" w:lastRowFirstColumn="0" w:lastRowLastColumn="0"/>
              <w:rPr>
                <w:sz w:val="18"/>
                <w:szCs w:val="18"/>
              </w:rPr>
            </w:pPr>
            <w:r w:rsidRPr="00AD6455">
              <w:rPr>
                <w:color w:val="000000"/>
                <w:sz w:val="18"/>
                <w:szCs w:val="18"/>
              </w:rPr>
              <w:t>0,00%</w:t>
            </w:r>
          </w:p>
        </w:tc>
      </w:tr>
      <w:tr w:rsidR="008F5741" w:rsidRPr="00A665B1" w14:paraId="68024DE7" w14:textId="77777777" w:rsidTr="008F5741">
        <w:trPr>
          <w:jc w:val="right"/>
        </w:trPr>
        <w:tc>
          <w:tcPr>
            <w:cnfStyle w:val="001000000000" w:firstRow="0" w:lastRow="0" w:firstColumn="1" w:lastColumn="0" w:oddVBand="0" w:evenVBand="0" w:oddHBand="0" w:evenHBand="0" w:firstRowFirstColumn="0" w:firstRowLastColumn="0" w:lastRowFirstColumn="0" w:lastRowLastColumn="0"/>
            <w:tcW w:w="2268" w:type="dxa"/>
          </w:tcPr>
          <w:p w14:paraId="71186F93" w14:textId="77777777" w:rsidR="008F5741" w:rsidRPr="00A665B1" w:rsidRDefault="008F5741" w:rsidP="008F5741">
            <w:pPr>
              <w:pStyle w:val="Prrafodelista"/>
              <w:ind w:left="0"/>
              <w:jc w:val="both"/>
              <w:rPr>
                <w:sz w:val="18"/>
                <w:szCs w:val="18"/>
              </w:rPr>
            </w:pPr>
          </w:p>
        </w:tc>
        <w:tc>
          <w:tcPr>
            <w:tcW w:w="2269" w:type="dxa"/>
            <w:vAlign w:val="center"/>
          </w:tcPr>
          <w:p w14:paraId="517D4F5D" w14:textId="77777777" w:rsidR="008F5741" w:rsidRPr="00A665B1" w:rsidRDefault="008F5741" w:rsidP="008F5741">
            <w:pPr>
              <w:pStyle w:val="Prrafodelista"/>
              <w:ind w:left="0" w:right="316"/>
              <w:jc w:val="center"/>
              <w:cnfStyle w:val="000000000000" w:firstRow="0" w:lastRow="0" w:firstColumn="0" w:lastColumn="0" w:oddVBand="0" w:evenVBand="0" w:oddHBand="0" w:evenHBand="0" w:firstRowFirstColumn="0" w:firstRowLastColumn="0" w:lastRowFirstColumn="0" w:lastRowLastColumn="0"/>
              <w:rPr>
                <w:b/>
                <w:sz w:val="18"/>
                <w:szCs w:val="18"/>
              </w:rPr>
            </w:pPr>
            <w:r w:rsidRPr="00A665B1">
              <w:rPr>
                <w:b/>
                <w:sz w:val="18"/>
                <w:szCs w:val="18"/>
              </w:rPr>
              <w:t>Total</w:t>
            </w:r>
          </w:p>
        </w:tc>
        <w:tc>
          <w:tcPr>
            <w:tcW w:w="708" w:type="dxa"/>
          </w:tcPr>
          <w:p w14:paraId="4F5A9174" w14:textId="77777777" w:rsidR="008F5741" w:rsidRPr="00A665B1" w:rsidRDefault="008F5741" w:rsidP="008F5741">
            <w:pPr>
              <w:pStyle w:val="Prrafodelista"/>
              <w:ind w:left="0"/>
              <w:jc w:val="center"/>
              <w:cnfStyle w:val="000000000000" w:firstRow="0" w:lastRow="0" w:firstColumn="0" w:lastColumn="0" w:oddVBand="0" w:evenVBand="0" w:oddHBand="0" w:evenHBand="0" w:firstRowFirstColumn="0" w:firstRowLastColumn="0" w:lastRowFirstColumn="0" w:lastRowLastColumn="0"/>
              <w:rPr>
                <w:b/>
                <w:sz w:val="18"/>
                <w:szCs w:val="18"/>
              </w:rPr>
            </w:pPr>
          </w:p>
        </w:tc>
        <w:tc>
          <w:tcPr>
            <w:tcW w:w="1134" w:type="dxa"/>
            <w:vAlign w:val="center"/>
          </w:tcPr>
          <w:p w14:paraId="608AF3D8" w14:textId="77777777" w:rsidR="008F5741" w:rsidRPr="00A665B1" w:rsidRDefault="008F5741" w:rsidP="008F5741">
            <w:pPr>
              <w:pStyle w:val="Prrafodelista"/>
              <w:ind w:left="0" w:right="316"/>
              <w:jc w:val="right"/>
              <w:cnfStyle w:val="000000000000" w:firstRow="0" w:lastRow="0" w:firstColumn="0" w:lastColumn="0" w:oddVBand="0" w:evenVBand="0" w:oddHBand="0" w:evenHBand="0" w:firstRowFirstColumn="0" w:firstRowLastColumn="0" w:lastRowFirstColumn="0" w:lastRowLastColumn="0"/>
              <w:rPr>
                <w:b/>
                <w:sz w:val="18"/>
                <w:szCs w:val="18"/>
              </w:rPr>
            </w:pPr>
            <w:r w:rsidRPr="00A665B1">
              <w:rPr>
                <w:b/>
                <w:sz w:val="18"/>
                <w:szCs w:val="18"/>
              </w:rPr>
              <w:t>9</w:t>
            </w:r>
          </w:p>
        </w:tc>
        <w:tc>
          <w:tcPr>
            <w:tcW w:w="993" w:type="dxa"/>
            <w:vAlign w:val="center"/>
          </w:tcPr>
          <w:p w14:paraId="4DB9841A" w14:textId="77777777" w:rsidR="008F5741" w:rsidRPr="00A665B1" w:rsidRDefault="008F5741" w:rsidP="008F5741">
            <w:pPr>
              <w:pStyle w:val="Prrafodelista"/>
              <w:ind w:left="0" w:right="316"/>
              <w:jc w:val="right"/>
              <w:cnfStyle w:val="000000000000" w:firstRow="0" w:lastRow="0" w:firstColumn="0" w:lastColumn="0" w:oddVBand="0" w:evenVBand="0" w:oddHBand="0" w:evenHBand="0" w:firstRowFirstColumn="0" w:firstRowLastColumn="0" w:lastRowFirstColumn="0" w:lastRowLastColumn="0"/>
              <w:rPr>
                <w:b/>
                <w:sz w:val="18"/>
                <w:szCs w:val="18"/>
              </w:rPr>
            </w:pPr>
            <w:r w:rsidRPr="00A665B1">
              <w:rPr>
                <w:b/>
                <w:sz w:val="18"/>
                <w:szCs w:val="18"/>
              </w:rPr>
              <w:t>1</w:t>
            </w:r>
          </w:p>
        </w:tc>
        <w:tc>
          <w:tcPr>
            <w:tcW w:w="1275" w:type="dxa"/>
            <w:vAlign w:val="center"/>
          </w:tcPr>
          <w:p w14:paraId="610DC318" w14:textId="77777777" w:rsidR="008F5741" w:rsidRPr="00AD6455" w:rsidRDefault="008F5741" w:rsidP="008F5741">
            <w:pPr>
              <w:pStyle w:val="Prrafodelista"/>
              <w:ind w:left="0" w:right="173"/>
              <w:jc w:val="right"/>
              <w:cnfStyle w:val="000000000000" w:firstRow="0" w:lastRow="0" w:firstColumn="0" w:lastColumn="0" w:oddVBand="0" w:evenVBand="0" w:oddHBand="0" w:evenHBand="0" w:firstRowFirstColumn="0" w:firstRowLastColumn="0" w:lastRowFirstColumn="0" w:lastRowLastColumn="0"/>
              <w:rPr>
                <w:b/>
                <w:sz w:val="18"/>
                <w:szCs w:val="18"/>
              </w:rPr>
            </w:pPr>
            <w:r w:rsidRPr="00AD6455">
              <w:rPr>
                <w:b/>
                <w:color w:val="000000"/>
                <w:sz w:val="18"/>
                <w:szCs w:val="18"/>
              </w:rPr>
              <w:t>11,11%</w:t>
            </w:r>
          </w:p>
        </w:tc>
      </w:tr>
    </w:tbl>
    <w:p w14:paraId="3B737D1F" w14:textId="4ABCB1CF" w:rsidR="008F5741" w:rsidRPr="00A665B1" w:rsidRDefault="008F5741" w:rsidP="00A665B1">
      <w:pPr>
        <w:jc w:val="both"/>
        <w:rPr>
          <w:sz w:val="22"/>
          <w:szCs w:val="22"/>
        </w:rPr>
      </w:pPr>
    </w:p>
    <w:p w14:paraId="5893DECF" w14:textId="77777777" w:rsidR="008F5741" w:rsidRDefault="008F5741" w:rsidP="008F5741">
      <w:pPr>
        <w:jc w:val="both"/>
        <w:rPr>
          <w:sz w:val="22"/>
          <w:szCs w:val="22"/>
        </w:rPr>
      </w:pPr>
    </w:p>
    <w:p w14:paraId="3BD78F27" w14:textId="77777777" w:rsidR="008F5741" w:rsidRPr="00E43D74" w:rsidRDefault="008F5741" w:rsidP="008F5741">
      <w:pPr>
        <w:pStyle w:val="Prrafodelista"/>
        <w:numPr>
          <w:ilvl w:val="0"/>
          <w:numId w:val="45"/>
        </w:numPr>
        <w:ind w:left="426" w:hanging="284"/>
        <w:rPr>
          <w:b/>
          <w:color w:val="385623" w:themeColor="accent6" w:themeShade="80"/>
          <w:sz w:val="20"/>
          <w:szCs w:val="20"/>
        </w:rPr>
      </w:pPr>
      <w:r w:rsidRPr="00E43D74">
        <w:rPr>
          <w:b/>
          <w:color w:val="385623" w:themeColor="accent6" w:themeShade="80"/>
          <w:sz w:val="20"/>
          <w:szCs w:val="20"/>
        </w:rPr>
        <w:t>Comité Académico</w:t>
      </w:r>
    </w:p>
    <w:p w14:paraId="579BB0D8" w14:textId="77777777" w:rsidR="008F5741" w:rsidRDefault="008F5741" w:rsidP="008F5741">
      <w:pPr>
        <w:jc w:val="both"/>
        <w:rPr>
          <w:sz w:val="22"/>
          <w:szCs w:val="22"/>
        </w:rPr>
      </w:pPr>
    </w:p>
    <w:tbl>
      <w:tblPr>
        <w:tblStyle w:val="Tabladecuadrcula2-nfasis6"/>
        <w:tblW w:w="0" w:type="auto"/>
        <w:jc w:val="right"/>
        <w:tblLayout w:type="fixed"/>
        <w:tblLook w:val="04A0" w:firstRow="1" w:lastRow="0" w:firstColumn="1" w:lastColumn="0" w:noHBand="0" w:noVBand="1"/>
      </w:tblPr>
      <w:tblGrid>
        <w:gridCol w:w="2268"/>
        <w:gridCol w:w="2269"/>
        <w:gridCol w:w="708"/>
        <w:gridCol w:w="1134"/>
        <w:gridCol w:w="993"/>
        <w:gridCol w:w="1275"/>
      </w:tblGrid>
      <w:tr w:rsidR="008F5741" w:rsidRPr="00A665B1" w14:paraId="7F2F0EE3" w14:textId="77777777" w:rsidTr="008F5741">
        <w:trPr>
          <w:cnfStyle w:val="100000000000" w:firstRow="1" w:lastRow="0" w:firstColumn="0" w:lastColumn="0" w:oddVBand="0" w:evenVBand="0" w:oddHBand="0" w:evenHBand="0" w:firstRowFirstColumn="0" w:firstRowLastColumn="0" w:lastRowFirstColumn="0" w:lastRowLastColumn="0"/>
          <w:trHeight w:val="467"/>
          <w:jc w:val="right"/>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ADC3AF8" w14:textId="77777777" w:rsidR="008F5741" w:rsidRPr="00A665B1" w:rsidRDefault="008F5741" w:rsidP="008F5741">
            <w:pPr>
              <w:pStyle w:val="Prrafodelista"/>
              <w:ind w:left="0"/>
              <w:jc w:val="center"/>
              <w:rPr>
                <w:i/>
                <w:sz w:val="16"/>
                <w:szCs w:val="18"/>
              </w:rPr>
            </w:pPr>
            <w:r w:rsidRPr="00A665B1">
              <w:rPr>
                <w:i/>
                <w:sz w:val="16"/>
                <w:szCs w:val="18"/>
              </w:rPr>
              <w:t>Acto Administrativo</w:t>
            </w:r>
          </w:p>
        </w:tc>
        <w:tc>
          <w:tcPr>
            <w:tcW w:w="2269" w:type="dxa"/>
            <w:vAlign w:val="center"/>
          </w:tcPr>
          <w:p w14:paraId="3DCEF02B" w14:textId="77777777" w:rsidR="008F5741" w:rsidRPr="00A665B1" w:rsidRDefault="008F5741" w:rsidP="008F5741">
            <w:pPr>
              <w:pStyle w:val="Prrafodelista"/>
              <w:ind w:left="0"/>
              <w:jc w:val="center"/>
              <w:cnfStyle w:val="100000000000" w:firstRow="1" w:lastRow="0" w:firstColumn="0" w:lastColumn="0" w:oddVBand="0" w:evenVBand="0" w:oddHBand="0" w:evenHBand="0" w:firstRowFirstColumn="0" w:firstRowLastColumn="0" w:lastRowFirstColumn="0" w:lastRowLastColumn="0"/>
              <w:rPr>
                <w:i/>
                <w:sz w:val="16"/>
                <w:szCs w:val="18"/>
              </w:rPr>
            </w:pPr>
            <w:r w:rsidRPr="00A665B1">
              <w:rPr>
                <w:i/>
                <w:sz w:val="16"/>
                <w:szCs w:val="18"/>
              </w:rPr>
              <w:t>Periodicidad Normativa</w:t>
            </w:r>
          </w:p>
        </w:tc>
        <w:tc>
          <w:tcPr>
            <w:tcW w:w="708" w:type="dxa"/>
            <w:vAlign w:val="center"/>
          </w:tcPr>
          <w:p w14:paraId="46E084AD" w14:textId="77777777" w:rsidR="008F5741" w:rsidRPr="00A665B1" w:rsidRDefault="008F5741" w:rsidP="008F5741">
            <w:pPr>
              <w:pStyle w:val="Prrafodelista"/>
              <w:ind w:left="0"/>
              <w:jc w:val="center"/>
              <w:cnfStyle w:val="100000000000" w:firstRow="1" w:lastRow="0" w:firstColumn="0" w:lastColumn="0" w:oddVBand="0" w:evenVBand="0" w:oddHBand="0" w:evenHBand="0" w:firstRowFirstColumn="0" w:firstRowLastColumn="0" w:lastRowFirstColumn="0" w:lastRowLastColumn="0"/>
              <w:rPr>
                <w:i/>
                <w:sz w:val="16"/>
                <w:szCs w:val="18"/>
              </w:rPr>
            </w:pPr>
            <w:r w:rsidRPr="00A665B1">
              <w:rPr>
                <w:i/>
                <w:sz w:val="16"/>
                <w:szCs w:val="18"/>
              </w:rPr>
              <w:t>Año</w:t>
            </w:r>
          </w:p>
        </w:tc>
        <w:tc>
          <w:tcPr>
            <w:tcW w:w="1134" w:type="dxa"/>
            <w:vAlign w:val="center"/>
          </w:tcPr>
          <w:p w14:paraId="2E4EBFA2" w14:textId="77777777" w:rsidR="008F5741" w:rsidRPr="00A665B1" w:rsidRDefault="008F5741" w:rsidP="008F5741">
            <w:pPr>
              <w:pStyle w:val="Prrafodelista"/>
              <w:ind w:left="0"/>
              <w:jc w:val="center"/>
              <w:cnfStyle w:val="100000000000" w:firstRow="1" w:lastRow="0" w:firstColumn="0" w:lastColumn="0" w:oddVBand="0" w:evenVBand="0" w:oddHBand="0" w:evenHBand="0" w:firstRowFirstColumn="0" w:firstRowLastColumn="0" w:lastRowFirstColumn="0" w:lastRowLastColumn="0"/>
              <w:rPr>
                <w:i/>
                <w:sz w:val="16"/>
                <w:szCs w:val="18"/>
              </w:rPr>
            </w:pPr>
            <w:r w:rsidRPr="00A665B1">
              <w:rPr>
                <w:i/>
                <w:sz w:val="16"/>
                <w:szCs w:val="18"/>
              </w:rPr>
              <w:t>Reuniones Normativas</w:t>
            </w:r>
          </w:p>
        </w:tc>
        <w:tc>
          <w:tcPr>
            <w:tcW w:w="993" w:type="dxa"/>
            <w:vAlign w:val="center"/>
          </w:tcPr>
          <w:p w14:paraId="1E1A7B14" w14:textId="77777777" w:rsidR="008F5741" w:rsidRPr="00A665B1" w:rsidRDefault="008F5741" w:rsidP="008F5741">
            <w:pPr>
              <w:pStyle w:val="Prrafodelista"/>
              <w:ind w:left="0"/>
              <w:jc w:val="center"/>
              <w:cnfStyle w:val="100000000000" w:firstRow="1" w:lastRow="0" w:firstColumn="0" w:lastColumn="0" w:oddVBand="0" w:evenVBand="0" w:oddHBand="0" w:evenHBand="0" w:firstRowFirstColumn="0" w:firstRowLastColumn="0" w:lastRowFirstColumn="0" w:lastRowLastColumn="0"/>
              <w:rPr>
                <w:i/>
                <w:sz w:val="16"/>
                <w:szCs w:val="18"/>
              </w:rPr>
            </w:pPr>
            <w:r w:rsidRPr="00A665B1">
              <w:rPr>
                <w:i/>
                <w:sz w:val="16"/>
                <w:szCs w:val="18"/>
              </w:rPr>
              <w:t>Reuniones</w:t>
            </w:r>
          </w:p>
          <w:p w14:paraId="78F05DD8" w14:textId="77777777" w:rsidR="008F5741" w:rsidRPr="00A665B1" w:rsidRDefault="008F5741" w:rsidP="008F5741">
            <w:pPr>
              <w:pStyle w:val="Prrafodelista"/>
              <w:ind w:left="0"/>
              <w:jc w:val="center"/>
              <w:cnfStyle w:val="100000000000" w:firstRow="1" w:lastRow="0" w:firstColumn="0" w:lastColumn="0" w:oddVBand="0" w:evenVBand="0" w:oddHBand="0" w:evenHBand="0" w:firstRowFirstColumn="0" w:firstRowLastColumn="0" w:lastRowFirstColumn="0" w:lastRowLastColumn="0"/>
              <w:rPr>
                <w:i/>
                <w:sz w:val="16"/>
                <w:szCs w:val="18"/>
              </w:rPr>
            </w:pPr>
            <w:r w:rsidRPr="00A665B1">
              <w:rPr>
                <w:i/>
                <w:sz w:val="16"/>
                <w:szCs w:val="18"/>
              </w:rPr>
              <w:t>Realizadas</w:t>
            </w:r>
          </w:p>
        </w:tc>
        <w:tc>
          <w:tcPr>
            <w:tcW w:w="1275" w:type="dxa"/>
            <w:vAlign w:val="center"/>
          </w:tcPr>
          <w:p w14:paraId="384D0E6C" w14:textId="77777777" w:rsidR="008F5741" w:rsidRPr="00A665B1" w:rsidRDefault="008F5741" w:rsidP="008F5741">
            <w:pPr>
              <w:pStyle w:val="Prrafodelista"/>
              <w:ind w:left="0"/>
              <w:jc w:val="center"/>
              <w:cnfStyle w:val="100000000000" w:firstRow="1" w:lastRow="0" w:firstColumn="0" w:lastColumn="0" w:oddVBand="0" w:evenVBand="0" w:oddHBand="0" w:evenHBand="0" w:firstRowFirstColumn="0" w:firstRowLastColumn="0" w:lastRowFirstColumn="0" w:lastRowLastColumn="0"/>
              <w:rPr>
                <w:i/>
                <w:sz w:val="16"/>
                <w:szCs w:val="18"/>
              </w:rPr>
            </w:pPr>
            <w:r w:rsidRPr="00A665B1">
              <w:rPr>
                <w:i/>
                <w:sz w:val="16"/>
                <w:szCs w:val="18"/>
              </w:rPr>
              <w:t>Nivel de Cumplimiento</w:t>
            </w:r>
          </w:p>
        </w:tc>
      </w:tr>
      <w:tr w:rsidR="008F5741" w:rsidRPr="00A665B1" w14:paraId="2A0FD5CB" w14:textId="77777777" w:rsidTr="00A665B1">
        <w:trPr>
          <w:cnfStyle w:val="000000100000" w:firstRow="0" w:lastRow="0" w:firstColumn="0" w:lastColumn="0" w:oddVBand="0" w:evenVBand="0" w:oddHBand="1" w:evenHBand="0" w:firstRowFirstColumn="0" w:firstRowLastColumn="0" w:lastRowFirstColumn="0" w:lastRowLastColumn="0"/>
          <w:trHeight w:val="227"/>
          <w:jc w:val="right"/>
        </w:trPr>
        <w:tc>
          <w:tcPr>
            <w:cnfStyle w:val="001000000000" w:firstRow="0" w:lastRow="0" w:firstColumn="1" w:lastColumn="0" w:oddVBand="0" w:evenVBand="0" w:oddHBand="0" w:evenHBand="0" w:firstRowFirstColumn="0" w:firstRowLastColumn="0" w:lastRowFirstColumn="0" w:lastRowLastColumn="0"/>
            <w:tcW w:w="2268" w:type="dxa"/>
            <w:vMerge w:val="restart"/>
            <w:vAlign w:val="center"/>
          </w:tcPr>
          <w:p w14:paraId="4B5B0982" w14:textId="77777777" w:rsidR="008F5741" w:rsidRPr="00A665B1" w:rsidRDefault="008F5741" w:rsidP="008F5741">
            <w:pPr>
              <w:pStyle w:val="Prrafodelista"/>
              <w:ind w:left="0"/>
              <w:rPr>
                <w:b w:val="0"/>
                <w:sz w:val="18"/>
                <w:szCs w:val="18"/>
              </w:rPr>
            </w:pPr>
            <w:r w:rsidRPr="00A665B1">
              <w:rPr>
                <w:b w:val="0"/>
                <w:sz w:val="18"/>
                <w:szCs w:val="18"/>
              </w:rPr>
              <w:t>RR 43331 - 7/sep./2017</w:t>
            </w:r>
          </w:p>
        </w:tc>
        <w:tc>
          <w:tcPr>
            <w:tcW w:w="2269" w:type="dxa"/>
            <w:vMerge w:val="restart"/>
            <w:vAlign w:val="center"/>
          </w:tcPr>
          <w:p w14:paraId="7E88A18E" w14:textId="77777777" w:rsidR="008F5741" w:rsidRPr="00A665B1" w:rsidRDefault="008F5741" w:rsidP="008F5741">
            <w:pPr>
              <w:pStyle w:val="Prrafodelista"/>
              <w:ind w:left="0" w:right="18"/>
              <w:jc w:val="center"/>
              <w:cnfStyle w:val="000000100000" w:firstRow="0" w:lastRow="0" w:firstColumn="0" w:lastColumn="0" w:oddVBand="0" w:evenVBand="0" w:oddHBand="1" w:evenHBand="0" w:firstRowFirstColumn="0" w:firstRowLastColumn="0" w:lastRowFirstColumn="0" w:lastRowLastColumn="0"/>
              <w:rPr>
                <w:sz w:val="18"/>
                <w:szCs w:val="18"/>
              </w:rPr>
            </w:pPr>
            <w:r w:rsidRPr="00A665B1">
              <w:rPr>
                <w:sz w:val="18"/>
                <w:szCs w:val="18"/>
              </w:rPr>
              <w:t>Cada 8 días</w:t>
            </w:r>
          </w:p>
        </w:tc>
        <w:tc>
          <w:tcPr>
            <w:tcW w:w="708" w:type="dxa"/>
            <w:vAlign w:val="center"/>
          </w:tcPr>
          <w:p w14:paraId="5AAAC2EA" w14:textId="77777777" w:rsidR="008F5741" w:rsidRPr="00A665B1" w:rsidRDefault="008F5741" w:rsidP="008F5741">
            <w:pPr>
              <w:pStyle w:val="Prrafodelista"/>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A665B1">
              <w:rPr>
                <w:sz w:val="18"/>
                <w:szCs w:val="18"/>
              </w:rPr>
              <w:t>2017</w:t>
            </w:r>
          </w:p>
        </w:tc>
        <w:tc>
          <w:tcPr>
            <w:tcW w:w="1134" w:type="dxa"/>
            <w:vAlign w:val="center"/>
          </w:tcPr>
          <w:p w14:paraId="64046E70" w14:textId="77777777" w:rsidR="008F5741" w:rsidRPr="00A665B1" w:rsidRDefault="008F5741" w:rsidP="008F5741">
            <w:pPr>
              <w:pStyle w:val="Prrafodelista"/>
              <w:ind w:left="0" w:right="316"/>
              <w:jc w:val="right"/>
              <w:cnfStyle w:val="000000100000" w:firstRow="0" w:lastRow="0" w:firstColumn="0" w:lastColumn="0" w:oddVBand="0" w:evenVBand="0" w:oddHBand="1" w:evenHBand="0" w:firstRowFirstColumn="0" w:firstRowLastColumn="0" w:lastRowFirstColumn="0" w:lastRowLastColumn="0"/>
              <w:rPr>
                <w:sz w:val="18"/>
                <w:szCs w:val="18"/>
              </w:rPr>
            </w:pPr>
            <w:r w:rsidRPr="00A665B1">
              <w:rPr>
                <w:sz w:val="18"/>
                <w:szCs w:val="18"/>
              </w:rPr>
              <w:t>13</w:t>
            </w:r>
          </w:p>
        </w:tc>
        <w:tc>
          <w:tcPr>
            <w:tcW w:w="993" w:type="dxa"/>
            <w:vAlign w:val="center"/>
          </w:tcPr>
          <w:p w14:paraId="190D99F4" w14:textId="77777777" w:rsidR="008F5741" w:rsidRPr="00A665B1" w:rsidRDefault="008F5741" w:rsidP="008F5741">
            <w:pPr>
              <w:pStyle w:val="Prrafodelista"/>
              <w:ind w:left="0" w:right="316"/>
              <w:jc w:val="right"/>
              <w:cnfStyle w:val="000000100000" w:firstRow="0" w:lastRow="0" w:firstColumn="0" w:lastColumn="0" w:oddVBand="0" w:evenVBand="0" w:oddHBand="1" w:evenHBand="0" w:firstRowFirstColumn="0" w:firstRowLastColumn="0" w:lastRowFirstColumn="0" w:lastRowLastColumn="0"/>
              <w:rPr>
                <w:sz w:val="18"/>
                <w:szCs w:val="18"/>
              </w:rPr>
            </w:pPr>
            <w:r w:rsidRPr="00A665B1">
              <w:rPr>
                <w:sz w:val="18"/>
                <w:szCs w:val="18"/>
              </w:rPr>
              <w:t>6</w:t>
            </w:r>
          </w:p>
        </w:tc>
        <w:tc>
          <w:tcPr>
            <w:tcW w:w="1275" w:type="dxa"/>
            <w:vAlign w:val="center"/>
          </w:tcPr>
          <w:p w14:paraId="39D7E242" w14:textId="77777777" w:rsidR="008F5741" w:rsidRPr="00A665B1" w:rsidRDefault="008F5741" w:rsidP="008F5741">
            <w:pPr>
              <w:pStyle w:val="Prrafodelista"/>
              <w:ind w:left="0" w:right="173"/>
              <w:jc w:val="right"/>
              <w:cnfStyle w:val="000000100000" w:firstRow="0" w:lastRow="0" w:firstColumn="0" w:lastColumn="0" w:oddVBand="0" w:evenVBand="0" w:oddHBand="1" w:evenHBand="0" w:firstRowFirstColumn="0" w:firstRowLastColumn="0" w:lastRowFirstColumn="0" w:lastRowLastColumn="0"/>
              <w:rPr>
                <w:sz w:val="18"/>
                <w:szCs w:val="18"/>
              </w:rPr>
            </w:pPr>
          </w:p>
        </w:tc>
      </w:tr>
      <w:tr w:rsidR="008F5741" w:rsidRPr="00A665B1" w14:paraId="27AF23A1" w14:textId="77777777" w:rsidTr="00A665B1">
        <w:trPr>
          <w:trHeight w:val="227"/>
          <w:jc w:val="right"/>
        </w:trPr>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3C89A217" w14:textId="77777777" w:rsidR="008F5741" w:rsidRPr="00A665B1" w:rsidRDefault="008F5741" w:rsidP="008F5741">
            <w:pPr>
              <w:pStyle w:val="Prrafodelista"/>
              <w:ind w:left="0"/>
              <w:rPr>
                <w:b w:val="0"/>
                <w:sz w:val="18"/>
                <w:szCs w:val="18"/>
              </w:rPr>
            </w:pPr>
          </w:p>
        </w:tc>
        <w:tc>
          <w:tcPr>
            <w:tcW w:w="2269" w:type="dxa"/>
            <w:vMerge/>
            <w:vAlign w:val="center"/>
          </w:tcPr>
          <w:p w14:paraId="071C21ED" w14:textId="77777777" w:rsidR="008F5741" w:rsidRPr="00A665B1" w:rsidRDefault="008F5741" w:rsidP="008F5741">
            <w:pPr>
              <w:pStyle w:val="Prrafodelista"/>
              <w:ind w:left="0" w:right="316"/>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8" w:type="dxa"/>
            <w:vAlign w:val="center"/>
          </w:tcPr>
          <w:p w14:paraId="5D4E4535" w14:textId="77777777" w:rsidR="008F5741" w:rsidRPr="00A665B1" w:rsidRDefault="008F5741" w:rsidP="008F5741">
            <w:pPr>
              <w:pStyle w:val="Prrafodelista"/>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A665B1">
              <w:rPr>
                <w:sz w:val="18"/>
                <w:szCs w:val="18"/>
              </w:rPr>
              <w:t>2018</w:t>
            </w:r>
          </w:p>
        </w:tc>
        <w:tc>
          <w:tcPr>
            <w:tcW w:w="1134" w:type="dxa"/>
            <w:vAlign w:val="center"/>
          </w:tcPr>
          <w:p w14:paraId="1EC1E05E" w14:textId="77777777" w:rsidR="008F5741" w:rsidRPr="00A665B1" w:rsidRDefault="008F5741" w:rsidP="008F5741">
            <w:pPr>
              <w:pStyle w:val="Prrafodelista"/>
              <w:ind w:left="0" w:right="316"/>
              <w:jc w:val="right"/>
              <w:cnfStyle w:val="000000000000" w:firstRow="0" w:lastRow="0" w:firstColumn="0" w:lastColumn="0" w:oddVBand="0" w:evenVBand="0" w:oddHBand="0" w:evenHBand="0" w:firstRowFirstColumn="0" w:firstRowLastColumn="0" w:lastRowFirstColumn="0" w:lastRowLastColumn="0"/>
              <w:rPr>
                <w:sz w:val="18"/>
                <w:szCs w:val="18"/>
              </w:rPr>
            </w:pPr>
            <w:r w:rsidRPr="00A665B1">
              <w:rPr>
                <w:sz w:val="18"/>
                <w:szCs w:val="18"/>
              </w:rPr>
              <w:t>22</w:t>
            </w:r>
          </w:p>
        </w:tc>
        <w:tc>
          <w:tcPr>
            <w:tcW w:w="993" w:type="dxa"/>
            <w:vAlign w:val="center"/>
          </w:tcPr>
          <w:p w14:paraId="0EC92F06" w14:textId="77777777" w:rsidR="008F5741" w:rsidRPr="00A665B1" w:rsidRDefault="008F5741" w:rsidP="008F5741">
            <w:pPr>
              <w:pStyle w:val="Prrafodelista"/>
              <w:ind w:left="0" w:right="316"/>
              <w:jc w:val="right"/>
              <w:cnfStyle w:val="000000000000" w:firstRow="0" w:lastRow="0" w:firstColumn="0" w:lastColumn="0" w:oddVBand="0" w:evenVBand="0" w:oddHBand="0" w:evenHBand="0" w:firstRowFirstColumn="0" w:firstRowLastColumn="0" w:lastRowFirstColumn="0" w:lastRowLastColumn="0"/>
              <w:rPr>
                <w:sz w:val="18"/>
                <w:szCs w:val="18"/>
              </w:rPr>
            </w:pPr>
            <w:r w:rsidRPr="00A665B1">
              <w:rPr>
                <w:sz w:val="18"/>
                <w:szCs w:val="18"/>
              </w:rPr>
              <w:t>5</w:t>
            </w:r>
          </w:p>
        </w:tc>
        <w:tc>
          <w:tcPr>
            <w:tcW w:w="1275" w:type="dxa"/>
            <w:vAlign w:val="center"/>
          </w:tcPr>
          <w:p w14:paraId="571DA77C" w14:textId="77777777" w:rsidR="008F5741" w:rsidRPr="00A665B1" w:rsidRDefault="008F5741" w:rsidP="008F5741">
            <w:pPr>
              <w:pStyle w:val="Prrafodelista"/>
              <w:ind w:left="0" w:right="173"/>
              <w:jc w:val="right"/>
              <w:cnfStyle w:val="000000000000" w:firstRow="0" w:lastRow="0" w:firstColumn="0" w:lastColumn="0" w:oddVBand="0" w:evenVBand="0" w:oddHBand="0" w:evenHBand="0" w:firstRowFirstColumn="0" w:firstRowLastColumn="0" w:lastRowFirstColumn="0" w:lastRowLastColumn="0"/>
              <w:rPr>
                <w:sz w:val="18"/>
                <w:szCs w:val="18"/>
              </w:rPr>
            </w:pPr>
          </w:p>
        </w:tc>
      </w:tr>
      <w:tr w:rsidR="008F5741" w:rsidRPr="00A665B1" w14:paraId="0EC02A09" w14:textId="77777777" w:rsidTr="008F5741">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268" w:type="dxa"/>
          </w:tcPr>
          <w:p w14:paraId="04F69A54" w14:textId="77777777" w:rsidR="008F5741" w:rsidRPr="00A665B1" w:rsidRDefault="008F5741" w:rsidP="008F5741">
            <w:pPr>
              <w:pStyle w:val="Prrafodelista"/>
              <w:ind w:left="0"/>
              <w:jc w:val="both"/>
              <w:rPr>
                <w:sz w:val="18"/>
                <w:szCs w:val="18"/>
              </w:rPr>
            </w:pPr>
          </w:p>
        </w:tc>
        <w:tc>
          <w:tcPr>
            <w:tcW w:w="2269" w:type="dxa"/>
            <w:vAlign w:val="center"/>
          </w:tcPr>
          <w:p w14:paraId="038B3CE5" w14:textId="77777777" w:rsidR="008F5741" w:rsidRPr="00A665B1" w:rsidRDefault="008F5741" w:rsidP="008F5741">
            <w:pPr>
              <w:pStyle w:val="Prrafodelista"/>
              <w:ind w:left="0" w:right="316"/>
              <w:jc w:val="center"/>
              <w:cnfStyle w:val="000000100000" w:firstRow="0" w:lastRow="0" w:firstColumn="0" w:lastColumn="0" w:oddVBand="0" w:evenVBand="0" w:oddHBand="1" w:evenHBand="0" w:firstRowFirstColumn="0" w:firstRowLastColumn="0" w:lastRowFirstColumn="0" w:lastRowLastColumn="0"/>
              <w:rPr>
                <w:b/>
                <w:sz w:val="18"/>
                <w:szCs w:val="18"/>
              </w:rPr>
            </w:pPr>
            <w:r w:rsidRPr="00A665B1">
              <w:rPr>
                <w:b/>
                <w:sz w:val="18"/>
                <w:szCs w:val="18"/>
              </w:rPr>
              <w:t>Total</w:t>
            </w:r>
          </w:p>
        </w:tc>
        <w:tc>
          <w:tcPr>
            <w:tcW w:w="708" w:type="dxa"/>
          </w:tcPr>
          <w:p w14:paraId="0FABCF66" w14:textId="77777777" w:rsidR="008F5741" w:rsidRPr="00A665B1" w:rsidRDefault="008F5741" w:rsidP="008F5741">
            <w:pPr>
              <w:pStyle w:val="Prrafodelista"/>
              <w:ind w:left="0"/>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1134" w:type="dxa"/>
            <w:vAlign w:val="center"/>
          </w:tcPr>
          <w:p w14:paraId="4D4023FE" w14:textId="77777777" w:rsidR="008F5741" w:rsidRPr="00A665B1" w:rsidRDefault="008F5741" w:rsidP="008F5741">
            <w:pPr>
              <w:pStyle w:val="Prrafodelista"/>
              <w:ind w:left="0" w:right="316"/>
              <w:jc w:val="right"/>
              <w:cnfStyle w:val="000000100000" w:firstRow="0" w:lastRow="0" w:firstColumn="0" w:lastColumn="0" w:oddVBand="0" w:evenVBand="0" w:oddHBand="1" w:evenHBand="0" w:firstRowFirstColumn="0" w:firstRowLastColumn="0" w:lastRowFirstColumn="0" w:lastRowLastColumn="0"/>
              <w:rPr>
                <w:b/>
                <w:sz w:val="18"/>
                <w:szCs w:val="18"/>
              </w:rPr>
            </w:pPr>
            <w:r w:rsidRPr="00A665B1">
              <w:rPr>
                <w:b/>
                <w:sz w:val="18"/>
                <w:szCs w:val="18"/>
              </w:rPr>
              <w:t>35</w:t>
            </w:r>
          </w:p>
        </w:tc>
        <w:tc>
          <w:tcPr>
            <w:tcW w:w="993" w:type="dxa"/>
            <w:vAlign w:val="center"/>
          </w:tcPr>
          <w:p w14:paraId="30B199FF" w14:textId="77777777" w:rsidR="008F5741" w:rsidRPr="00A665B1" w:rsidRDefault="008F5741" w:rsidP="008F5741">
            <w:pPr>
              <w:pStyle w:val="Prrafodelista"/>
              <w:ind w:left="0" w:right="316"/>
              <w:jc w:val="right"/>
              <w:cnfStyle w:val="000000100000" w:firstRow="0" w:lastRow="0" w:firstColumn="0" w:lastColumn="0" w:oddVBand="0" w:evenVBand="0" w:oddHBand="1" w:evenHBand="0" w:firstRowFirstColumn="0" w:firstRowLastColumn="0" w:lastRowFirstColumn="0" w:lastRowLastColumn="0"/>
              <w:rPr>
                <w:b/>
                <w:sz w:val="18"/>
                <w:szCs w:val="18"/>
              </w:rPr>
            </w:pPr>
            <w:r w:rsidRPr="00A665B1">
              <w:rPr>
                <w:b/>
                <w:sz w:val="18"/>
                <w:szCs w:val="18"/>
              </w:rPr>
              <w:t>11</w:t>
            </w:r>
          </w:p>
        </w:tc>
        <w:tc>
          <w:tcPr>
            <w:tcW w:w="1275" w:type="dxa"/>
            <w:vAlign w:val="center"/>
          </w:tcPr>
          <w:p w14:paraId="286D937F" w14:textId="77777777" w:rsidR="008F5741" w:rsidRPr="00A665B1" w:rsidRDefault="008F5741" w:rsidP="008F5741">
            <w:pPr>
              <w:pStyle w:val="Prrafodelista"/>
              <w:ind w:left="0" w:right="173"/>
              <w:jc w:val="right"/>
              <w:cnfStyle w:val="000000100000" w:firstRow="0" w:lastRow="0" w:firstColumn="0" w:lastColumn="0" w:oddVBand="0" w:evenVBand="0" w:oddHBand="1" w:evenHBand="0" w:firstRowFirstColumn="0" w:firstRowLastColumn="0" w:lastRowFirstColumn="0" w:lastRowLastColumn="0"/>
              <w:rPr>
                <w:b/>
                <w:sz w:val="18"/>
                <w:szCs w:val="18"/>
              </w:rPr>
            </w:pPr>
            <w:r w:rsidRPr="00A665B1">
              <w:rPr>
                <w:b/>
                <w:sz w:val="18"/>
                <w:szCs w:val="18"/>
              </w:rPr>
              <w:t>31.43%</w:t>
            </w:r>
          </w:p>
        </w:tc>
      </w:tr>
    </w:tbl>
    <w:p w14:paraId="7D1945E6" w14:textId="77777777" w:rsidR="008F5741" w:rsidRDefault="008F5741" w:rsidP="008F5741">
      <w:pPr>
        <w:jc w:val="both"/>
        <w:rPr>
          <w:sz w:val="22"/>
          <w:szCs w:val="22"/>
        </w:rPr>
      </w:pPr>
    </w:p>
    <w:p w14:paraId="64E294BD" w14:textId="77777777" w:rsidR="008F5741" w:rsidRPr="00EB4203" w:rsidRDefault="008F5741" w:rsidP="008F5741">
      <w:pPr>
        <w:rPr>
          <w:b/>
          <w:color w:val="385623" w:themeColor="accent6" w:themeShade="80"/>
          <w:sz w:val="22"/>
        </w:rPr>
      </w:pPr>
      <w:r>
        <w:rPr>
          <w:b/>
          <w:color w:val="385623" w:themeColor="accent6" w:themeShade="80"/>
          <w:sz w:val="22"/>
        </w:rPr>
        <w:t>Riesgos:</w:t>
      </w:r>
    </w:p>
    <w:p w14:paraId="63710567" w14:textId="232D86AA" w:rsidR="008F5741" w:rsidRPr="00E43D74" w:rsidRDefault="008F5741" w:rsidP="008F5741">
      <w:pPr>
        <w:pStyle w:val="Prrafodelista"/>
        <w:numPr>
          <w:ilvl w:val="0"/>
          <w:numId w:val="46"/>
        </w:numPr>
        <w:ind w:left="426" w:hanging="284"/>
        <w:jc w:val="both"/>
        <w:rPr>
          <w:sz w:val="22"/>
          <w:szCs w:val="22"/>
        </w:rPr>
      </w:pPr>
      <w:r w:rsidRPr="00E43D74">
        <w:rPr>
          <w:sz w:val="22"/>
          <w:szCs w:val="22"/>
        </w:rPr>
        <w:t>Comunes para ambos comité</w:t>
      </w:r>
      <w:r w:rsidR="00331532">
        <w:rPr>
          <w:sz w:val="22"/>
          <w:szCs w:val="22"/>
        </w:rPr>
        <w:t>s</w:t>
      </w:r>
      <w:r w:rsidRPr="00E43D74">
        <w:rPr>
          <w:sz w:val="22"/>
          <w:szCs w:val="22"/>
        </w:rPr>
        <w:t>:</w:t>
      </w:r>
    </w:p>
    <w:p w14:paraId="01E92C18" w14:textId="77777777" w:rsidR="008F5741" w:rsidRPr="00E43D74" w:rsidRDefault="008F5741" w:rsidP="008F5741">
      <w:pPr>
        <w:pStyle w:val="Prrafodelista"/>
        <w:numPr>
          <w:ilvl w:val="0"/>
          <w:numId w:val="17"/>
        </w:numPr>
        <w:jc w:val="both"/>
        <w:rPr>
          <w:i/>
          <w:sz w:val="20"/>
          <w:szCs w:val="22"/>
        </w:rPr>
      </w:pPr>
      <w:r w:rsidRPr="00E43D74">
        <w:rPr>
          <w:i/>
          <w:sz w:val="20"/>
          <w:szCs w:val="22"/>
        </w:rPr>
        <w:t>Incumplimiento normativo de sus funciones</w:t>
      </w:r>
    </w:p>
    <w:p w14:paraId="694D48DE" w14:textId="77777777" w:rsidR="008F5741" w:rsidRDefault="008F5741" w:rsidP="008F5741">
      <w:pPr>
        <w:jc w:val="both"/>
        <w:rPr>
          <w:sz w:val="22"/>
          <w:szCs w:val="22"/>
        </w:rPr>
      </w:pPr>
    </w:p>
    <w:p w14:paraId="54F156AC" w14:textId="77777777" w:rsidR="008F5741" w:rsidRPr="00E43D74" w:rsidRDefault="008F5741" w:rsidP="008F5741">
      <w:pPr>
        <w:pStyle w:val="Prrafodelista"/>
        <w:numPr>
          <w:ilvl w:val="0"/>
          <w:numId w:val="46"/>
        </w:numPr>
        <w:ind w:left="426" w:hanging="284"/>
        <w:jc w:val="both"/>
        <w:rPr>
          <w:sz w:val="22"/>
          <w:szCs w:val="22"/>
        </w:rPr>
      </w:pPr>
      <w:r w:rsidRPr="00E43D74">
        <w:rPr>
          <w:sz w:val="22"/>
          <w:szCs w:val="22"/>
        </w:rPr>
        <w:t>Comité de Dirección, Administrativo y financiero:</w:t>
      </w:r>
    </w:p>
    <w:p w14:paraId="4996F626" w14:textId="77777777" w:rsidR="008F5741" w:rsidRPr="00E43D74" w:rsidRDefault="008F5741" w:rsidP="008F5741">
      <w:pPr>
        <w:pStyle w:val="Prrafodelista"/>
        <w:numPr>
          <w:ilvl w:val="0"/>
          <w:numId w:val="17"/>
        </w:numPr>
        <w:jc w:val="both"/>
        <w:rPr>
          <w:i/>
          <w:sz w:val="20"/>
          <w:szCs w:val="22"/>
        </w:rPr>
      </w:pPr>
      <w:r w:rsidRPr="00E43D74">
        <w:rPr>
          <w:i/>
          <w:sz w:val="20"/>
          <w:szCs w:val="22"/>
        </w:rPr>
        <w:t xml:space="preserve">Débil evaluación periódica del estado del proyecto </w:t>
      </w:r>
    </w:p>
    <w:p w14:paraId="3F6DFEB3" w14:textId="77777777" w:rsidR="008F5741" w:rsidRPr="00E43D74" w:rsidRDefault="008F5741" w:rsidP="008F5741">
      <w:pPr>
        <w:pStyle w:val="Prrafodelista"/>
        <w:numPr>
          <w:ilvl w:val="0"/>
          <w:numId w:val="17"/>
        </w:numPr>
        <w:jc w:val="both"/>
        <w:rPr>
          <w:i/>
          <w:sz w:val="20"/>
          <w:szCs w:val="22"/>
        </w:rPr>
      </w:pPr>
      <w:r w:rsidRPr="00E43D74">
        <w:rPr>
          <w:i/>
          <w:sz w:val="20"/>
          <w:szCs w:val="22"/>
        </w:rPr>
        <w:t>Débil conocimiento y seguimiento al alcance y las especificaciones de los contratos de estudios y diseños.</w:t>
      </w:r>
    </w:p>
    <w:p w14:paraId="79D0EC45" w14:textId="77777777" w:rsidR="008F5741" w:rsidRPr="00E43D74" w:rsidRDefault="008F5741" w:rsidP="008F5741">
      <w:pPr>
        <w:pStyle w:val="Prrafodelista"/>
        <w:numPr>
          <w:ilvl w:val="0"/>
          <w:numId w:val="17"/>
        </w:numPr>
        <w:jc w:val="both"/>
        <w:rPr>
          <w:i/>
          <w:sz w:val="20"/>
          <w:szCs w:val="22"/>
        </w:rPr>
      </w:pPr>
      <w:r w:rsidRPr="00E43D74">
        <w:rPr>
          <w:i/>
          <w:sz w:val="20"/>
          <w:szCs w:val="22"/>
        </w:rPr>
        <w:t>Ejecución de recursos que no corresponden a las políticas generales del proyecto en lo administrativo y financiero, pues es este Comité quien las define.</w:t>
      </w:r>
    </w:p>
    <w:p w14:paraId="5F050BB3" w14:textId="77777777" w:rsidR="008F5741" w:rsidRPr="00E43D74" w:rsidRDefault="008F5741" w:rsidP="008F5741">
      <w:pPr>
        <w:pStyle w:val="Prrafodelista"/>
        <w:numPr>
          <w:ilvl w:val="0"/>
          <w:numId w:val="17"/>
        </w:numPr>
        <w:jc w:val="both"/>
        <w:rPr>
          <w:i/>
          <w:sz w:val="20"/>
          <w:szCs w:val="22"/>
        </w:rPr>
      </w:pPr>
      <w:r w:rsidRPr="00E43D74">
        <w:rPr>
          <w:i/>
          <w:sz w:val="20"/>
          <w:szCs w:val="22"/>
        </w:rPr>
        <w:t>Inadecuada articulación y coordinación acciones entre Comités.</w:t>
      </w:r>
    </w:p>
    <w:p w14:paraId="5F9EBCF3" w14:textId="77777777" w:rsidR="008F5741" w:rsidRPr="00AF3AAB" w:rsidRDefault="008F5741" w:rsidP="008F5741">
      <w:pPr>
        <w:jc w:val="both"/>
        <w:rPr>
          <w:sz w:val="22"/>
          <w:szCs w:val="22"/>
        </w:rPr>
      </w:pPr>
    </w:p>
    <w:p w14:paraId="67C397D5" w14:textId="77777777" w:rsidR="008F5741" w:rsidRPr="00E43D74" w:rsidRDefault="008F5741" w:rsidP="008F5741">
      <w:pPr>
        <w:pStyle w:val="Prrafodelista"/>
        <w:numPr>
          <w:ilvl w:val="0"/>
          <w:numId w:val="46"/>
        </w:numPr>
        <w:ind w:left="426" w:hanging="284"/>
        <w:jc w:val="both"/>
        <w:rPr>
          <w:sz w:val="22"/>
          <w:szCs w:val="22"/>
        </w:rPr>
      </w:pPr>
      <w:r w:rsidRPr="00E43D74">
        <w:rPr>
          <w:sz w:val="22"/>
          <w:szCs w:val="22"/>
        </w:rPr>
        <w:t>Comité Académico:</w:t>
      </w:r>
    </w:p>
    <w:p w14:paraId="55A4B340" w14:textId="77777777" w:rsidR="008F5741" w:rsidRPr="00E43D74" w:rsidRDefault="008F5741" w:rsidP="008F5741">
      <w:pPr>
        <w:pStyle w:val="Prrafodelista"/>
        <w:numPr>
          <w:ilvl w:val="0"/>
          <w:numId w:val="17"/>
        </w:numPr>
        <w:jc w:val="both"/>
        <w:rPr>
          <w:i/>
          <w:sz w:val="20"/>
          <w:szCs w:val="22"/>
        </w:rPr>
      </w:pPr>
      <w:r w:rsidRPr="00E43D74">
        <w:rPr>
          <w:i/>
          <w:sz w:val="20"/>
          <w:szCs w:val="22"/>
        </w:rPr>
        <w:t>Inadecuada articulación y acciones de los integrantes del Comité.</w:t>
      </w:r>
    </w:p>
    <w:p w14:paraId="2A7D752B" w14:textId="77777777" w:rsidR="008F5741" w:rsidRPr="00E43D74" w:rsidRDefault="008F5741" w:rsidP="008F5741">
      <w:pPr>
        <w:pStyle w:val="Prrafodelista"/>
        <w:numPr>
          <w:ilvl w:val="0"/>
          <w:numId w:val="17"/>
        </w:numPr>
        <w:jc w:val="both"/>
        <w:rPr>
          <w:i/>
          <w:sz w:val="20"/>
          <w:szCs w:val="22"/>
        </w:rPr>
      </w:pPr>
      <w:r w:rsidRPr="00E43D74">
        <w:rPr>
          <w:i/>
          <w:sz w:val="20"/>
          <w:szCs w:val="22"/>
        </w:rPr>
        <w:t xml:space="preserve">Posibles retrasos en la ejecución de las actividades académicas del Comité </w:t>
      </w:r>
    </w:p>
    <w:p w14:paraId="2A04C113" w14:textId="77777777" w:rsidR="008F5741" w:rsidRDefault="008F5741" w:rsidP="008F5741">
      <w:pPr>
        <w:jc w:val="both"/>
      </w:pPr>
    </w:p>
    <w:p w14:paraId="136FB033" w14:textId="77777777" w:rsidR="008F5741" w:rsidRDefault="008F5741" w:rsidP="008F5741">
      <w:pPr>
        <w:jc w:val="both"/>
      </w:pPr>
      <w:r w:rsidRPr="001A5CC5">
        <w:rPr>
          <w:b/>
          <w:color w:val="385623" w:themeColor="accent6" w:themeShade="80"/>
          <w:sz w:val="22"/>
        </w:rPr>
        <w:t>Recomendación</w:t>
      </w:r>
      <w:r>
        <w:t xml:space="preserve"> </w:t>
      </w:r>
    </w:p>
    <w:p w14:paraId="3EC75424" w14:textId="77777777" w:rsidR="008F5741" w:rsidRPr="00E43D74" w:rsidRDefault="008F5741" w:rsidP="008F5741">
      <w:pPr>
        <w:pStyle w:val="Prrafodelista"/>
        <w:numPr>
          <w:ilvl w:val="0"/>
          <w:numId w:val="48"/>
        </w:numPr>
        <w:ind w:left="426" w:hanging="284"/>
        <w:jc w:val="both"/>
        <w:rPr>
          <w:sz w:val="22"/>
          <w:szCs w:val="22"/>
        </w:rPr>
      </w:pPr>
      <w:r w:rsidRPr="00E43D74">
        <w:rPr>
          <w:sz w:val="22"/>
          <w:szCs w:val="22"/>
        </w:rPr>
        <w:t xml:space="preserve">Dar cumplimiento a las reuniones </w:t>
      </w:r>
      <w:r>
        <w:rPr>
          <w:sz w:val="22"/>
          <w:szCs w:val="22"/>
        </w:rPr>
        <w:t>establecidas</w:t>
      </w:r>
      <w:r w:rsidRPr="00E43D74">
        <w:rPr>
          <w:sz w:val="22"/>
          <w:szCs w:val="22"/>
        </w:rPr>
        <w:t xml:space="preserve"> en </w:t>
      </w:r>
      <w:r>
        <w:rPr>
          <w:sz w:val="22"/>
          <w:szCs w:val="22"/>
        </w:rPr>
        <w:t>actos administrativos</w:t>
      </w:r>
      <w:r w:rsidRPr="00E43D74">
        <w:rPr>
          <w:sz w:val="22"/>
          <w:szCs w:val="22"/>
        </w:rPr>
        <w:t>.</w:t>
      </w:r>
    </w:p>
    <w:p w14:paraId="7FF3CB15" w14:textId="77777777" w:rsidR="008F5741" w:rsidRDefault="008F5741" w:rsidP="008F5741">
      <w:pPr>
        <w:ind w:left="426" w:hanging="284"/>
        <w:rPr>
          <w:sz w:val="22"/>
          <w:szCs w:val="22"/>
        </w:rPr>
      </w:pPr>
    </w:p>
    <w:p w14:paraId="46C2D4F2" w14:textId="77777777" w:rsidR="008F5741" w:rsidRDefault="008F5741" w:rsidP="008F5741">
      <w:pPr>
        <w:pStyle w:val="Prrafodelista"/>
        <w:numPr>
          <w:ilvl w:val="0"/>
          <w:numId w:val="48"/>
        </w:numPr>
        <w:ind w:left="426" w:hanging="284"/>
        <w:jc w:val="both"/>
        <w:rPr>
          <w:sz w:val="22"/>
          <w:szCs w:val="22"/>
        </w:rPr>
      </w:pPr>
      <w:r w:rsidRPr="00E43D74">
        <w:rPr>
          <w:sz w:val="22"/>
          <w:szCs w:val="22"/>
        </w:rPr>
        <w:t xml:space="preserve">Identificar y evaluar el impacto generado por no ejecución de las funciones establecidas en los actos administrativos, dado el inicio del proyecto </w:t>
      </w:r>
      <w:r>
        <w:rPr>
          <w:sz w:val="22"/>
          <w:szCs w:val="22"/>
        </w:rPr>
        <w:t>y</w:t>
      </w:r>
      <w:r w:rsidRPr="00E43D74">
        <w:rPr>
          <w:sz w:val="22"/>
          <w:szCs w:val="22"/>
        </w:rPr>
        <w:t xml:space="preserve"> ejecución de recursos </w:t>
      </w:r>
      <w:r>
        <w:rPr>
          <w:sz w:val="22"/>
          <w:szCs w:val="22"/>
        </w:rPr>
        <w:t>a</w:t>
      </w:r>
      <w:r w:rsidRPr="00E43D74">
        <w:rPr>
          <w:sz w:val="22"/>
          <w:szCs w:val="22"/>
        </w:rPr>
        <w:t xml:space="preserve"> inicios del 2017</w:t>
      </w:r>
      <w:r>
        <w:rPr>
          <w:sz w:val="22"/>
          <w:szCs w:val="22"/>
        </w:rPr>
        <w:t>.</w:t>
      </w:r>
    </w:p>
    <w:p w14:paraId="3B702C8B" w14:textId="77777777" w:rsidR="008F5741" w:rsidRPr="00E43D74" w:rsidRDefault="008F5741" w:rsidP="008F5741">
      <w:pPr>
        <w:pStyle w:val="Prrafodelista"/>
        <w:rPr>
          <w:sz w:val="22"/>
          <w:szCs w:val="22"/>
        </w:rPr>
      </w:pPr>
    </w:p>
    <w:p w14:paraId="5969A829" w14:textId="1E853B01" w:rsidR="008F5741" w:rsidRDefault="008F5741" w:rsidP="008F5741">
      <w:pPr>
        <w:pStyle w:val="Prrafodelista"/>
        <w:numPr>
          <w:ilvl w:val="0"/>
          <w:numId w:val="48"/>
        </w:numPr>
        <w:ind w:left="426" w:hanging="284"/>
        <w:jc w:val="both"/>
        <w:rPr>
          <w:sz w:val="22"/>
          <w:szCs w:val="22"/>
        </w:rPr>
      </w:pPr>
      <w:r>
        <w:rPr>
          <w:sz w:val="22"/>
          <w:szCs w:val="22"/>
        </w:rPr>
        <w:t>E</w:t>
      </w:r>
      <w:r w:rsidRPr="00E43D74">
        <w:rPr>
          <w:sz w:val="22"/>
          <w:szCs w:val="22"/>
        </w:rPr>
        <w:t>videncia</w:t>
      </w:r>
      <w:r>
        <w:rPr>
          <w:sz w:val="22"/>
          <w:szCs w:val="22"/>
        </w:rPr>
        <w:t>r</w:t>
      </w:r>
      <w:r w:rsidRPr="00E43D74">
        <w:rPr>
          <w:sz w:val="22"/>
          <w:szCs w:val="22"/>
        </w:rPr>
        <w:t xml:space="preserve"> en actas del Comité Directivo el desarrollo de su función de seguimiento, establecida</w:t>
      </w:r>
      <w:r>
        <w:rPr>
          <w:sz w:val="22"/>
          <w:szCs w:val="22"/>
        </w:rPr>
        <w:t xml:space="preserve"> en el acto administrativo</w:t>
      </w:r>
      <w:r w:rsidRPr="00E43D74">
        <w:rPr>
          <w:sz w:val="22"/>
          <w:szCs w:val="22"/>
        </w:rPr>
        <w:t xml:space="preserve">. </w:t>
      </w:r>
    </w:p>
    <w:p w14:paraId="4C61A550" w14:textId="77777777" w:rsidR="00EC369D" w:rsidRDefault="00EC369D" w:rsidP="00EC369D">
      <w:pPr>
        <w:jc w:val="both"/>
        <w:rPr>
          <w:b/>
          <w:color w:val="385623" w:themeColor="accent6" w:themeShade="80"/>
          <w:sz w:val="22"/>
        </w:rPr>
      </w:pPr>
    </w:p>
    <w:p w14:paraId="0DCA4C67" w14:textId="18B3FF9B" w:rsidR="00EC369D" w:rsidRPr="00EC369D" w:rsidRDefault="00EC369D" w:rsidP="00EC369D">
      <w:pPr>
        <w:jc w:val="both"/>
        <w:rPr>
          <w:sz w:val="22"/>
          <w:szCs w:val="22"/>
        </w:rPr>
      </w:pPr>
      <w:r w:rsidRPr="00EC369D">
        <w:rPr>
          <w:b/>
          <w:color w:val="385623" w:themeColor="accent6" w:themeShade="80"/>
          <w:sz w:val="22"/>
        </w:rPr>
        <w:t xml:space="preserve">Comentarios Administración </w:t>
      </w:r>
    </w:p>
    <w:p w14:paraId="52BCC991" w14:textId="39D80161" w:rsidR="008F5741" w:rsidRDefault="00EC369D" w:rsidP="007668B0">
      <w:pPr>
        <w:jc w:val="both"/>
        <w:rPr>
          <w:sz w:val="22"/>
          <w:szCs w:val="22"/>
        </w:rPr>
      </w:pPr>
      <w:r>
        <w:rPr>
          <w:sz w:val="22"/>
          <w:szCs w:val="22"/>
        </w:rPr>
        <w:t xml:space="preserve">El jefe de infraestructura física y la Directora del Proyecto manifiestan que efectivamente el Comité </w:t>
      </w:r>
      <w:r w:rsidR="008F140E">
        <w:rPr>
          <w:sz w:val="22"/>
          <w:szCs w:val="22"/>
        </w:rPr>
        <w:t xml:space="preserve">Financiero </w:t>
      </w:r>
      <w:r>
        <w:rPr>
          <w:sz w:val="22"/>
          <w:szCs w:val="22"/>
        </w:rPr>
        <w:t>se ha reunido</w:t>
      </w:r>
      <w:r w:rsidR="008F140E">
        <w:rPr>
          <w:sz w:val="22"/>
          <w:szCs w:val="22"/>
        </w:rPr>
        <w:t xml:space="preserve"> una vez</w:t>
      </w:r>
      <w:r w:rsidR="00B01F7E">
        <w:rPr>
          <w:sz w:val="22"/>
          <w:szCs w:val="22"/>
        </w:rPr>
        <w:t>. Por su parte</w:t>
      </w:r>
      <w:r w:rsidR="008F140E">
        <w:rPr>
          <w:sz w:val="22"/>
          <w:szCs w:val="22"/>
        </w:rPr>
        <w:t>,</w:t>
      </w:r>
      <w:r w:rsidR="00B01F7E">
        <w:rPr>
          <w:sz w:val="22"/>
          <w:szCs w:val="22"/>
        </w:rPr>
        <w:t xml:space="preserve"> la Directora General aclara que el Comité académico se creó en octubre y ha realizado actividades complementarias y tuvo posibles retrasos al inicio</w:t>
      </w:r>
      <w:r w:rsidR="007668B0">
        <w:rPr>
          <w:sz w:val="22"/>
          <w:szCs w:val="22"/>
        </w:rPr>
        <w:t xml:space="preserve"> por el cambio de administración.</w:t>
      </w:r>
      <w:r w:rsidR="006C5D16">
        <w:rPr>
          <w:sz w:val="22"/>
          <w:szCs w:val="22"/>
        </w:rPr>
        <w:t xml:space="preserve"> </w:t>
      </w:r>
      <w:r w:rsidR="008F5741">
        <w:rPr>
          <w:sz w:val="22"/>
          <w:szCs w:val="22"/>
        </w:rPr>
        <w:br w:type="page"/>
      </w:r>
    </w:p>
    <w:p w14:paraId="68A89335" w14:textId="77777777" w:rsidR="008F5741" w:rsidRPr="003E6AD8" w:rsidRDefault="008F5741" w:rsidP="008F5741">
      <w:pPr>
        <w:pStyle w:val="Ttulo3"/>
        <w:numPr>
          <w:ilvl w:val="2"/>
          <w:numId w:val="6"/>
        </w:numPr>
        <w:spacing w:before="0"/>
        <w:ind w:left="709" w:hanging="709"/>
        <w:rPr>
          <w:rFonts w:ascii="Times New Roman" w:hAnsi="Times New Roman" w:cs="Times New Roman"/>
          <w:b/>
          <w:color w:val="385623" w:themeColor="accent6" w:themeShade="80"/>
          <w:sz w:val="22"/>
        </w:rPr>
      </w:pPr>
      <w:bookmarkStart w:id="16" w:name="_Toc526516469"/>
      <w:r w:rsidRPr="003E6AD8">
        <w:rPr>
          <w:rFonts w:ascii="Times New Roman" w:hAnsi="Times New Roman" w:cs="Times New Roman"/>
          <w:b/>
          <w:color w:val="385623" w:themeColor="accent6" w:themeShade="80"/>
          <w:sz w:val="22"/>
        </w:rPr>
        <w:lastRenderedPageBreak/>
        <w:t xml:space="preserve">Información de empalme </w:t>
      </w:r>
      <w:r>
        <w:rPr>
          <w:rFonts w:ascii="Times New Roman" w:hAnsi="Times New Roman" w:cs="Times New Roman"/>
          <w:b/>
          <w:color w:val="385623" w:themeColor="accent6" w:themeShade="80"/>
          <w:sz w:val="22"/>
        </w:rPr>
        <w:t xml:space="preserve">unidad de </w:t>
      </w:r>
      <w:r w:rsidRPr="003E6AD8">
        <w:rPr>
          <w:rFonts w:ascii="Times New Roman" w:hAnsi="Times New Roman" w:cs="Times New Roman"/>
          <w:b/>
          <w:color w:val="385623" w:themeColor="accent6" w:themeShade="80"/>
          <w:sz w:val="22"/>
        </w:rPr>
        <w:t>proyectos especiales</w:t>
      </w:r>
      <w:bookmarkEnd w:id="16"/>
    </w:p>
    <w:p w14:paraId="26243A56" w14:textId="77777777" w:rsidR="008F5741" w:rsidRDefault="008F5741" w:rsidP="008F5741">
      <w:pPr>
        <w:rPr>
          <w:sz w:val="22"/>
        </w:rPr>
      </w:pPr>
    </w:p>
    <w:p w14:paraId="56DEC62A" w14:textId="77777777" w:rsidR="008F5741" w:rsidRDefault="008F5741" w:rsidP="008F5741">
      <w:pPr>
        <w:jc w:val="both"/>
        <w:rPr>
          <w:sz w:val="22"/>
        </w:rPr>
      </w:pPr>
      <w:r>
        <w:rPr>
          <w:sz w:val="22"/>
        </w:rPr>
        <w:t xml:space="preserve">En el acta 3 de la Vicerrectoría Administrativa en abril de 2018 </w:t>
      </w:r>
      <w:r w:rsidRPr="00044D79">
        <w:rPr>
          <w:sz w:val="22"/>
        </w:rPr>
        <w:t>correspondiente al proceso de empalme</w:t>
      </w:r>
      <w:r>
        <w:rPr>
          <w:sz w:val="22"/>
        </w:rPr>
        <w:t>, la encargada de la unidad de proyectos especiales informó a la administración entrante los aspectos relacionados con el crédito de los $220 mil millones de pesos:</w:t>
      </w:r>
    </w:p>
    <w:p w14:paraId="3B6519B1" w14:textId="77777777" w:rsidR="008F5741" w:rsidRDefault="008F5741" w:rsidP="008F5741">
      <w:pPr>
        <w:rPr>
          <w:i/>
          <w:sz w:val="22"/>
        </w:rPr>
      </w:pPr>
    </w:p>
    <w:p w14:paraId="30976C60" w14:textId="77777777" w:rsidR="008F5741" w:rsidRPr="00B74313" w:rsidRDefault="008F5741" w:rsidP="008F5741">
      <w:pPr>
        <w:ind w:left="284" w:right="284"/>
        <w:jc w:val="both"/>
        <w:rPr>
          <w:i/>
          <w:sz w:val="18"/>
        </w:rPr>
      </w:pPr>
      <w:r w:rsidRPr="00B74313">
        <w:rPr>
          <w:i/>
          <w:sz w:val="18"/>
        </w:rPr>
        <w:t xml:space="preserve">“De acuerdo a lo expresado en la reunión, la Dra. Lopera ha estado en frente de las labores relacionadas con la calificación de riesgo crediticio por parte de la FITCH-Ratings. A pesar de que en la información suministrada se envía un flujo de operación de caja proyectado hasta 2032. En este flujo sólo se relacionan los recursos que habría que amortizar por el crédito por 220.000 millones, pero no se relaciona el origen de los recursos. Sólo se menciona que la estampilla serviría como garantía, </w:t>
      </w:r>
      <w:r w:rsidRPr="00B74313">
        <w:rPr>
          <w:i/>
          <w:sz w:val="18"/>
          <w:u w:val="single"/>
        </w:rPr>
        <w:t>pero no necesariamente como fuente de pago</w:t>
      </w:r>
      <w:r w:rsidRPr="00B74313">
        <w:rPr>
          <w:i/>
          <w:sz w:val="18"/>
        </w:rPr>
        <w:t xml:space="preserve">. En este sentido, </w:t>
      </w:r>
      <w:r w:rsidRPr="00B74313">
        <w:rPr>
          <w:i/>
          <w:sz w:val="18"/>
          <w:u w:val="single"/>
        </w:rPr>
        <w:t>no hay claridad</w:t>
      </w:r>
      <w:r w:rsidRPr="00B74313">
        <w:rPr>
          <w:i/>
          <w:sz w:val="18"/>
        </w:rPr>
        <w:t xml:space="preserve"> de cuál sería la verdadera fuente de financiación del crédito en caso de que fuera adquirido, </w:t>
      </w:r>
      <w:r w:rsidRPr="00B74313">
        <w:rPr>
          <w:i/>
          <w:sz w:val="18"/>
          <w:u w:val="single"/>
        </w:rPr>
        <w:t>y tampoco se tienen en cuenta los flujos futuros</w:t>
      </w:r>
      <w:r w:rsidRPr="00B74313">
        <w:rPr>
          <w:i/>
          <w:sz w:val="18"/>
        </w:rPr>
        <w:t xml:space="preserve"> que podría generar el Complejo a la Salud en caso de ser desarrollado el proyecto. Adicionalmente, no hay claridad sobre las tasas de crecimiento aplicadas en los ingresos y gastos que se contemplan dentro del flujo de caja enviado. </w:t>
      </w:r>
      <w:r w:rsidRPr="00B74313">
        <w:rPr>
          <w:sz w:val="18"/>
        </w:rPr>
        <w:t>Subrayado fuera de texto.</w:t>
      </w:r>
    </w:p>
    <w:p w14:paraId="01E8B4F0" w14:textId="77777777" w:rsidR="008F5741" w:rsidRDefault="008F5741" w:rsidP="008F5741">
      <w:pPr>
        <w:jc w:val="both"/>
        <w:rPr>
          <w:sz w:val="22"/>
          <w:highlight w:val="yellow"/>
        </w:rPr>
      </w:pPr>
    </w:p>
    <w:p w14:paraId="5771FD94" w14:textId="77777777" w:rsidR="008F5741" w:rsidRPr="00EB4203" w:rsidRDefault="008F5741" w:rsidP="008F5741">
      <w:pPr>
        <w:rPr>
          <w:b/>
          <w:color w:val="385623" w:themeColor="accent6" w:themeShade="80"/>
          <w:sz w:val="22"/>
        </w:rPr>
      </w:pPr>
      <w:r>
        <w:rPr>
          <w:b/>
          <w:color w:val="385623" w:themeColor="accent6" w:themeShade="80"/>
          <w:sz w:val="22"/>
        </w:rPr>
        <w:t>Observación</w:t>
      </w:r>
    </w:p>
    <w:p w14:paraId="4B19FEEB" w14:textId="703A94C5" w:rsidR="008F5741" w:rsidRDefault="008F5741" w:rsidP="008F5741">
      <w:pPr>
        <w:jc w:val="both"/>
        <w:rPr>
          <w:color w:val="FF0000"/>
          <w:sz w:val="22"/>
          <w:highlight w:val="yellow"/>
        </w:rPr>
      </w:pPr>
      <w:r>
        <w:rPr>
          <w:sz w:val="22"/>
        </w:rPr>
        <w:t>La lectura del acta</w:t>
      </w:r>
      <w:r w:rsidR="0059070A">
        <w:rPr>
          <w:sz w:val="22"/>
        </w:rPr>
        <w:t xml:space="preserve"> 3</w:t>
      </w:r>
      <w:r>
        <w:rPr>
          <w:sz w:val="22"/>
        </w:rPr>
        <w:t xml:space="preserve"> genera confusión, pues en la documentación del proyecto y las proyecciones financieras, la estampilla constituye el respaldo y la fuente de recursos a través de la cual se realizaría el pago del crédito estimado.</w:t>
      </w:r>
    </w:p>
    <w:p w14:paraId="3F555A48" w14:textId="77777777" w:rsidR="008F5741" w:rsidRPr="00D216BC" w:rsidRDefault="008F5741" w:rsidP="008F5741">
      <w:pPr>
        <w:jc w:val="both"/>
        <w:rPr>
          <w:color w:val="FF0000"/>
          <w:sz w:val="22"/>
          <w:highlight w:val="yellow"/>
        </w:rPr>
      </w:pPr>
    </w:p>
    <w:p w14:paraId="48755EFD" w14:textId="77777777" w:rsidR="008F5741" w:rsidRPr="00AF3AAB" w:rsidRDefault="008F5741" w:rsidP="008F5741">
      <w:pPr>
        <w:rPr>
          <w:b/>
          <w:color w:val="385623" w:themeColor="accent6" w:themeShade="80"/>
          <w:sz w:val="22"/>
        </w:rPr>
      </w:pPr>
      <w:r>
        <w:rPr>
          <w:b/>
          <w:color w:val="385623" w:themeColor="accent6" w:themeShade="80"/>
          <w:sz w:val="22"/>
        </w:rPr>
        <w:t>Riesgo</w:t>
      </w:r>
    </w:p>
    <w:p w14:paraId="59C9D9CA" w14:textId="77777777" w:rsidR="008F5741" w:rsidRPr="00AF3AAB" w:rsidRDefault="008F5741" w:rsidP="008F5741">
      <w:pPr>
        <w:jc w:val="both"/>
        <w:rPr>
          <w:sz w:val="22"/>
        </w:rPr>
      </w:pPr>
      <w:r>
        <w:rPr>
          <w:sz w:val="22"/>
        </w:rPr>
        <w:t xml:space="preserve">Riesgo de liquidez, dadas las dificultades </w:t>
      </w:r>
      <w:r w:rsidRPr="00AF3AAB">
        <w:rPr>
          <w:sz w:val="22"/>
        </w:rPr>
        <w:t xml:space="preserve">en el </w:t>
      </w:r>
      <w:r>
        <w:rPr>
          <w:sz w:val="22"/>
        </w:rPr>
        <w:t>análisis relacionadas con el financiamiento y viabilidad financiera del proyecto.</w:t>
      </w:r>
    </w:p>
    <w:p w14:paraId="2FB4F7F8" w14:textId="77777777" w:rsidR="008F5741" w:rsidRDefault="008F5741" w:rsidP="008F5741">
      <w:pPr>
        <w:jc w:val="both"/>
        <w:rPr>
          <w:sz w:val="22"/>
          <w:highlight w:val="yellow"/>
        </w:rPr>
      </w:pPr>
    </w:p>
    <w:p w14:paraId="4C99B9EA" w14:textId="77777777" w:rsidR="008F5741" w:rsidRDefault="008F5741" w:rsidP="008F5741">
      <w:pPr>
        <w:jc w:val="both"/>
      </w:pPr>
      <w:r w:rsidRPr="001A5CC5">
        <w:rPr>
          <w:b/>
          <w:color w:val="385623" w:themeColor="accent6" w:themeShade="80"/>
          <w:sz w:val="22"/>
        </w:rPr>
        <w:t>Recomendación</w:t>
      </w:r>
      <w:r>
        <w:t xml:space="preserve"> </w:t>
      </w:r>
    </w:p>
    <w:p w14:paraId="407E1129" w14:textId="194911B2" w:rsidR="008F5741" w:rsidRPr="00AE6D08" w:rsidRDefault="008F5741" w:rsidP="008F5741">
      <w:pPr>
        <w:pStyle w:val="Prrafodelista"/>
        <w:numPr>
          <w:ilvl w:val="0"/>
          <w:numId w:val="49"/>
        </w:numPr>
        <w:ind w:left="284" w:hanging="284"/>
        <w:jc w:val="both"/>
        <w:rPr>
          <w:sz w:val="22"/>
        </w:rPr>
      </w:pPr>
      <w:r w:rsidRPr="00AE6D08">
        <w:rPr>
          <w:sz w:val="22"/>
        </w:rPr>
        <w:t xml:space="preserve">Analizar </w:t>
      </w:r>
      <w:r w:rsidRPr="00044D79">
        <w:rPr>
          <w:sz w:val="22"/>
        </w:rPr>
        <w:t>del</w:t>
      </w:r>
      <w:r>
        <w:rPr>
          <w:sz w:val="22"/>
        </w:rPr>
        <w:t xml:space="preserve"> proyecto desde la Vicerrectoría Administrativa y </w:t>
      </w:r>
      <w:r w:rsidRPr="00AE6D08">
        <w:rPr>
          <w:sz w:val="22"/>
        </w:rPr>
        <w:t>en conjunto con el Comité Directivo, administrativo y financiero</w:t>
      </w:r>
      <w:r>
        <w:rPr>
          <w:sz w:val="22"/>
        </w:rPr>
        <w:t>, para</w:t>
      </w:r>
      <w:r w:rsidRPr="00AE6D08">
        <w:rPr>
          <w:sz w:val="22"/>
        </w:rPr>
        <w:t xml:space="preserve"> </w:t>
      </w:r>
      <w:r>
        <w:rPr>
          <w:sz w:val="22"/>
        </w:rPr>
        <w:t>determinar</w:t>
      </w:r>
      <w:r w:rsidRPr="00AE6D08">
        <w:rPr>
          <w:sz w:val="22"/>
        </w:rPr>
        <w:t xml:space="preserve"> formalmente </w:t>
      </w:r>
      <w:r w:rsidR="00044D79">
        <w:rPr>
          <w:sz w:val="22"/>
        </w:rPr>
        <w:t>su</w:t>
      </w:r>
      <w:r w:rsidRPr="00AE6D08">
        <w:rPr>
          <w:sz w:val="22"/>
        </w:rPr>
        <w:t xml:space="preserve"> </w:t>
      </w:r>
      <w:r w:rsidR="000C68EA">
        <w:rPr>
          <w:sz w:val="22"/>
        </w:rPr>
        <w:t>viabilidad</w:t>
      </w:r>
      <w:r w:rsidRPr="00AE6D08">
        <w:rPr>
          <w:sz w:val="22"/>
        </w:rPr>
        <w:t xml:space="preserve">, identificando el nivel de endeudamiento óptimo y </w:t>
      </w:r>
      <w:r>
        <w:rPr>
          <w:sz w:val="22"/>
        </w:rPr>
        <w:t xml:space="preserve">las </w:t>
      </w:r>
      <w:r w:rsidRPr="00AE6D08">
        <w:rPr>
          <w:sz w:val="22"/>
        </w:rPr>
        <w:t>fuente</w:t>
      </w:r>
      <w:r>
        <w:rPr>
          <w:sz w:val="22"/>
        </w:rPr>
        <w:t>s</w:t>
      </w:r>
      <w:r w:rsidRPr="00AE6D08">
        <w:rPr>
          <w:sz w:val="22"/>
        </w:rPr>
        <w:t xml:space="preserve"> </w:t>
      </w:r>
      <w:r>
        <w:rPr>
          <w:sz w:val="22"/>
        </w:rPr>
        <w:t>para su</w:t>
      </w:r>
      <w:r w:rsidRPr="00AE6D08">
        <w:rPr>
          <w:sz w:val="22"/>
        </w:rPr>
        <w:t xml:space="preserve"> financiamiento.</w:t>
      </w:r>
    </w:p>
    <w:p w14:paraId="3F6532DA" w14:textId="77777777" w:rsidR="008F5741" w:rsidRPr="00AF3AAB" w:rsidRDefault="008F5741" w:rsidP="008F5741">
      <w:pPr>
        <w:ind w:left="284" w:hanging="284"/>
        <w:jc w:val="both"/>
        <w:rPr>
          <w:sz w:val="22"/>
        </w:rPr>
      </w:pPr>
    </w:p>
    <w:p w14:paraId="285CB0AF" w14:textId="77777777" w:rsidR="008F5741" w:rsidRPr="00AE6D08" w:rsidRDefault="008F5741" w:rsidP="008F5741">
      <w:pPr>
        <w:pStyle w:val="Prrafodelista"/>
        <w:numPr>
          <w:ilvl w:val="0"/>
          <w:numId w:val="49"/>
        </w:numPr>
        <w:ind w:left="284" w:hanging="284"/>
        <w:jc w:val="both"/>
        <w:rPr>
          <w:sz w:val="22"/>
        </w:rPr>
      </w:pPr>
      <w:r>
        <w:rPr>
          <w:sz w:val="22"/>
        </w:rPr>
        <w:t>R</w:t>
      </w:r>
      <w:r w:rsidRPr="00AE6D08">
        <w:rPr>
          <w:sz w:val="22"/>
        </w:rPr>
        <w:t xml:space="preserve">ealizar gestión externa </w:t>
      </w:r>
      <w:r>
        <w:rPr>
          <w:sz w:val="22"/>
        </w:rPr>
        <w:t xml:space="preserve">para obtención </w:t>
      </w:r>
      <w:r w:rsidRPr="00AE6D08">
        <w:rPr>
          <w:sz w:val="22"/>
        </w:rPr>
        <w:t xml:space="preserve">de recursos de cooperación, </w:t>
      </w:r>
      <w:r>
        <w:rPr>
          <w:sz w:val="22"/>
        </w:rPr>
        <w:t>en procura de</w:t>
      </w:r>
      <w:r w:rsidRPr="00AE6D08">
        <w:rPr>
          <w:sz w:val="22"/>
        </w:rPr>
        <w:t xml:space="preserve"> ubicar el proyecto </w:t>
      </w:r>
      <w:r>
        <w:rPr>
          <w:sz w:val="22"/>
        </w:rPr>
        <w:t>con alcance al</w:t>
      </w:r>
      <w:r w:rsidRPr="00AE6D08">
        <w:rPr>
          <w:sz w:val="22"/>
        </w:rPr>
        <w:t xml:space="preserve"> interés nacional o metropolitano</w:t>
      </w:r>
      <w:r>
        <w:rPr>
          <w:sz w:val="22"/>
        </w:rPr>
        <w:t>;</w:t>
      </w:r>
      <w:r w:rsidRPr="00AE6D08">
        <w:rPr>
          <w:sz w:val="22"/>
        </w:rPr>
        <w:t xml:space="preserve"> </w:t>
      </w:r>
      <w:r>
        <w:rPr>
          <w:sz w:val="22"/>
        </w:rPr>
        <w:t xml:space="preserve">con el fin de </w:t>
      </w:r>
      <w:r w:rsidRPr="00AE6D08">
        <w:rPr>
          <w:sz w:val="22"/>
        </w:rPr>
        <w:t xml:space="preserve">propiciar la inclusión </w:t>
      </w:r>
      <w:r>
        <w:rPr>
          <w:sz w:val="22"/>
        </w:rPr>
        <w:t>en el proyecto a</w:t>
      </w:r>
      <w:r w:rsidRPr="00AE6D08">
        <w:rPr>
          <w:sz w:val="22"/>
        </w:rPr>
        <w:t xml:space="preserve"> diferentes organismos del estado relacionados con el área de la salud.</w:t>
      </w:r>
    </w:p>
    <w:p w14:paraId="0D2DD229" w14:textId="77777777" w:rsidR="006C5D16" w:rsidRDefault="006C5D16" w:rsidP="006C5D16">
      <w:pPr>
        <w:jc w:val="both"/>
        <w:rPr>
          <w:b/>
          <w:color w:val="385623" w:themeColor="accent6" w:themeShade="80"/>
          <w:sz w:val="22"/>
        </w:rPr>
      </w:pPr>
    </w:p>
    <w:p w14:paraId="2C614B22" w14:textId="727853A5" w:rsidR="006C5D16" w:rsidRPr="006C5D16" w:rsidRDefault="006C5D16" w:rsidP="006C5D16">
      <w:pPr>
        <w:jc w:val="both"/>
        <w:rPr>
          <w:sz w:val="22"/>
          <w:szCs w:val="22"/>
        </w:rPr>
      </w:pPr>
      <w:r w:rsidRPr="006C5D16">
        <w:rPr>
          <w:b/>
          <w:color w:val="385623" w:themeColor="accent6" w:themeShade="80"/>
          <w:sz w:val="22"/>
        </w:rPr>
        <w:t xml:space="preserve">Comentarios Administración </w:t>
      </w:r>
    </w:p>
    <w:p w14:paraId="06F2FB1A" w14:textId="6000300B" w:rsidR="008F5741" w:rsidRPr="00AE6D08" w:rsidRDefault="006C5D16" w:rsidP="008F5741">
      <w:pPr>
        <w:spacing w:line="259" w:lineRule="auto"/>
        <w:rPr>
          <w:sz w:val="22"/>
          <w:szCs w:val="22"/>
        </w:rPr>
      </w:pPr>
      <w:r>
        <w:rPr>
          <w:sz w:val="22"/>
          <w:szCs w:val="22"/>
        </w:rPr>
        <w:t xml:space="preserve">Actualmente el proyecto se encuentra en pausa </w:t>
      </w:r>
      <w:r w:rsidRPr="006C5D16">
        <w:rPr>
          <w:sz w:val="22"/>
          <w:szCs w:val="22"/>
        </w:rPr>
        <w:t>financiera y académicamente</w:t>
      </w:r>
      <w:r>
        <w:rPr>
          <w:sz w:val="22"/>
          <w:szCs w:val="22"/>
        </w:rPr>
        <w:t>.</w:t>
      </w:r>
    </w:p>
    <w:p w14:paraId="3CD9A026" w14:textId="77777777" w:rsidR="008B4B2F" w:rsidRDefault="008B4B2F" w:rsidP="008B4B2F">
      <w:pPr>
        <w:spacing w:line="259" w:lineRule="auto"/>
        <w:rPr>
          <w:sz w:val="22"/>
          <w:szCs w:val="22"/>
        </w:rPr>
      </w:pPr>
    </w:p>
    <w:p w14:paraId="2DDE562A" w14:textId="77777777" w:rsidR="008F5741" w:rsidRPr="003E6652" w:rsidRDefault="008F5741" w:rsidP="008F5741">
      <w:pPr>
        <w:pStyle w:val="Ttulo3"/>
        <w:numPr>
          <w:ilvl w:val="2"/>
          <w:numId w:val="6"/>
        </w:numPr>
        <w:ind w:left="709" w:hanging="709"/>
        <w:rPr>
          <w:rFonts w:ascii="Times New Roman" w:eastAsia="Times New Roman" w:hAnsi="Times New Roman" w:cs="Times New Roman"/>
          <w:b/>
          <w:iCs/>
          <w:color w:val="385623" w:themeColor="accent6" w:themeShade="80"/>
          <w:sz w:val="22"/>
        </w:rPr>
      </w:pPr>
      <w:bookmarkStart w:id="17" w:name="_Toc526516470"/>
      <w:r w:rsidRPr="003E6652">
        <w:rPr>
          <w:rFonts w:ascii="Times New Roman" w:hAnsi="Times New Roman" w:cs="Times New Roman"/>
          <w:b/>
          <w:color w:val="385623" w:themeColor="accent6" w:themeShade="80"/>
          <w:sz w:val="22"/>
        </w:rPr>
        <w:t>Estado de los contratos relacionados con el proyecto</w:t>
      </w:r>
      <w:bookmarkEnd w:id="17"/>
      <w:r w:rsidRPr="003E6652">
        <w:rPr>
          <w:rFonts w:ascii="Times New Roman" w:hAnsi="Times New Roman" w:cs="Times New Roman"/>
          <w:b/>
          <w:color w:val="385623" w:themeColor="accent6" w:themeShade="80"/>
          <w:sz w:val="22"/>
        </w:rPr>
        <w:t xml:space="preserve">  </w:t>
      </w:r>
    </w:p>
    <w:p w14:paraId="459C5C48" w14:textId="77777777" w:rsidR="008F5741" w:rsidRDefault="008F5741" w:rsidP="008F5741">
      <w:pPr>
        <w:jc w:val="both"/>
        <w:rPr>
          <w:color w:val="FF0000"/>
          <w:sz w:val="22"/>
          <w:highlight w:val="yellow"/>
        </w:rPr>
      </w:pPr>
    </w:p>
    <w:p w14:paraId="1A8D0A87" w14:textId="77777777" w:rsidR="008F5741" w:rsidRDefault="008F5741" w:rsidP="008F5741">
      <w:pPr>
        <w:jc w:val="both"/>
        <w:rPr>
          <w:sz w:val="22"/>
        </w:rPr>
      </w:pPr>
      <w:r>
        <w:rPr>
          <w:sz w:val="22"/>
        </w:rPr>
        <w:t>A continuación, se presenta el estado de los contratos relacionados con el proyecto, según</w:t>
      </w:r>
      <w:r w:rsidRPr="006425A7">
        <w:rPr>
          <w:sz w:val="22"/>
        </w:rPr>
        <w:t xml:space="preserve"> información suministrada </w:t>
      </w:r>
      <w:r>
        <w:rPr>
          <w:sz w:val="22"/>
        </w:rPr>
        <w:t>por la Gerencia Técnica y la Dirección General:</w:t>
      </w:r>
    </w:p>
    <w:p w14:paraId="2FD9A4C0" w14:textId="77777777" w:rsidR="008F5741" w:rsidRDefault="008F5741" w:rsidP="008F5741">
      <w:pPr>
        <w:jc w:val="both"/>
        <w:rPr>
          <w:sz w:val="22"/>
        </w:rPr>
      </w:pPr>
    </w:p>
    <w:tbl>
      <w:tblPr>
        <w:tblStyle w:val="Tabladecuadrcula2-nfasis6"/>
        <w:tblW w:w="9529" w:type="dxa"/>
        <w:jc w:val="center"/>
        <w:tblLayout w:type="fixed"/>
        <w:tblLook w:val="04A0" w:firstRow="1" w:lastRow="0" w:firstColumn="1" w:lastColumn="0" w:noHBand="0" w:noVBand="1"/>
      </w:tblPr>
      <w:tblGrid>
        <w:gridCol w:w="3828"/>
        <w:gridCol w:w="1134"/>
        <w:gridCol w:w="1275"/>
        <w:gridCol w:w="3292"/>
      </w:tblGrid>
      <w:tr w:rsidR="00645786" w:rsidRPr="008B4B2F" w14:paraId="1DF84830" w14:textId="77777777" w:rsidTr="00CF04E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828" w:type="dxa"/>
          </w:tcPr>
          <w:p w14:paraId="4B28FCDF" w14:textId="77777777" w:rsidR="00645786" w:rsidRPr="008B4B2F" w:rsidRDefault="00645786" w:rsidP="008F5741">
            <w:pPr>
              <w:jc w:val="center"/>
              <w:rPr>
                <w:sz w:val="18"/>
                <w:szCs w:val="18"/>
              </w:rPr>
            </w:pPr>
            <w:r w:rsidRPr="008B4B2F">
              <w:rPr>
                <w:sz w:val="18"/>
                <w:szCs w:val="18"/>
              </w:rPr>
              <w:t>Contrato</w:t>
            </w:r>
          </w:p>
        </w:tc>
        <w:tc>
          <w:tcPr>
            <w:tcW w:w="1134" w:type="dxa"/>
          </w:tcPr>
          <w:p w14:paraId="7E79DEF0" w14:textId="77777777" w:rsidR="00645786" w:rsidRPr="008B4B2F" w:rsidRDefault="00645786" w:rsidP="008F5741">
            <w:pPr>
              <w:jc w:val="center"/>
              <w:cnfStyle w:val="100000000000" w:firstRow="1" w:lastRow="0" w:firstColumn="0" w:lastColumn="0" w:oddVBand="0" w:evenVBand="0" w:oddHBand="0" w:evenHBand="0" w:firstRowFirstColumn="0" w:firstRowLastColumn="0" w:lastRowFirstColumn="0" w:lastRowLastColumn="0"/>
              <w:rPr>
                <w:i/>
                <w:sz w:val="18"/>
                <w:szCs w:val="18"/>
              </w:rPr>
            </w:pPr>
            <w:r w:rsidRPr="008B4B2F">
              <w:rPr>
                <w:i/>
                <w:sz w:val="18"/>
                <w:szCs w:val="18"/>
              </w:rPr>
              <w:t>Vigencia</w:t>
            </w:r>
          </w:p>
        </w:tc>
        <w:tc>
          <w:tcPr>
            <w:tcW w:w="1275" w:type="dxa"/>
          </w:tcPr>
          <w:p w14:paraId="2678B5DB" w14:textId="77777777" w:rsidR="00645786" w:rsidRPr="008B4B2F" w:rsidRDefault="00645786" w:rsidP="008F5741">
            <w:pPr>
              <w:jc w:val="center"/>
              <w:cnfStyle w:val="100000000000" w:firstRow="1" w:lastRow="0" w:firstColumn="0" w:lastColumn="0" w:oddVBand="0" w:evenVBand="0" w:oddHBand="0" w:evenHBand="0" w:firstRowFirstColumn="0" w:firstRowLastColumn="0" w:lastRowFirstColumn="0" w:lastRowLastColumn="0"/>
              <w:rPr>
                <w:i/>
                <w:sz w:val="18"/>
                <w:szCs w:val="18"/>
              </w:rPr>
            </w:pPr>
            <w:r w:rsidRPr="008B4B2F">
              <w:rPr>
                <w:i/>
                <w:sz w:val="18"/>
                <w:szCs w:val="18"/>
              </w:rPr>
              <w:t>Presupuestal</w:t>
            </w:r>
          </w:p>
        </w:tc>
        <w:tc>
          <w:tcPr>
            <w:tcW w:w="3292" w:type="dxa"/>
          </w:tcPr>
          <w:p w14:paraId="7FE56247" w14:textId="77777777" w:rsidR="00645786" w:rsidRPr="008B4B2F" w:rsidRDefault="00645786" w:rsidP="008F5741">
            <w:pPr>
              <w:jc w:val="center"/>
              <w:cnfStyle w:val="100000000000" w:firstRow="1" w:lastRow="0" w:firstColumn="0" w:lastColumn="0" w:oddVBand="0" w:evenVBand="0" w:oddHBand="0" w:evenHBand="0" w:firstRowFirstColumn="0" w:firstRowLastColumn="0" w:lastRowFirstColumn="0" w:lastRowLastColumn="0"/>
              <w:rPr>
                <w:color w:val="FF0000"/>
                <w:sz w:val="18"/>
                <w:szCs w:val="18"/>
              </w:rPr>
            </w:pPr>
            <w:r w:rsidRPr="008B4B2F">
              <w:rPr>
                <w:sz w:val="18"/>
                <w:szCs w:val="18"/>
              </w:rPr>
              <w:t>Observación</w:t>
            </w:r>
          </w:p>
        </w:tc>
      </w:tr>
      <w:tr w:rsidR="00645786" w:rsidRPr="008B4B2F" w14:paraId="765D60EB" w14:textId="77777777" w:rsidTr="008B6C94">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vAlign w:val="center"/>
          </w:tcPr>
          <w:p w14:paraId="58F61FCB" w14:textId="77777777" w:rsidR="00645786" w:rsidRPr="00B74313" w:rsidRDefault="00645786" w:rsidP="008F5741">
            <w:pPr>
              <w:rPr>
                <w:b w:val="0"/>
                <w:bCs w:val="0"/>
                <w:sz w:val="16"/>
                <w:szCs w:val="16"/>
              </w:rPr>
            </w:pPr>
            <w:r w:rsidRPr="00B74313">
              <w:rPr>
                <w:b w:val="0"/>
                <w:sz w:val="16"/>
                <w:szCs w:val="16"/>
              </w:rPr>
              <w:t>Gerencia técnica del proyecto complejo de salud</w:t>
            </w:r>
          </w:p>
          <w:p w14:paraId="752E9E16" w14:textId="77777777" w:rsidR="00645786" w:rsidRPr="00B74313" w:rsidRDefault="00645786" w:rsidP="008F5741">
            <w:pPr>
              <w:rPr>
                <w:b w:val="0"/>
                <w:sz w:val="16"/>
                <w:szCs w:val="16"/>
              </w:rPr>
            </w:pPr>
            <w:r w:rsidRPr="00B74313">
              <w:rPr>
                <w:b w:val="0"/>
                <w:sz w:val="16"/>
                <w:szCs w:val="16"/>
              </w:rPr>
              <w:t xml:space="preserve">Contrato prestación de servicios GLI-0120-2016 </w:t>
            </w:r>
          </w:p>
        </w:tc>
        <w:tc>
          <w:tcPr>
            <w:tcW w:w="1134" w:type="dxa"/>
            <w:shd w:val="clear" w:color="auto" w:fill="auto"/>
            <w:vAlign w:val="center"/>
          </w:tcPr>
          <w:p w14:paraId="1873AF0D" w14:textId="77777777" w:rsidR="00645786" w:rsidRPr="00B74313" w:rsidRDefault="00645786" w:rsidP="008F5741">
            <w:pPr>
              <w:jc w:val="center"/>
              <w:cnfStyle w:val="000000100000" w:firstRow="0" w:lastRow="0" w:firstColumn="0" w:lastColumn="0" w:oddVBand="0" w:evenVBand="0" w:oddHBand="1" w:evenHBand="0" w:firstRowFirstColumn="0" w:firstRowLastColumn="0" w:lastRowFirstColumn="0" w:lastRowLastColumn="0"/>
              <w:rPr>
                <w:sz w:val="16"/>
                <w:szCs w:val="16"/>
              </w:rPr>
            </w:pPr>
            <w:r w:rsidRPr="00B74313">
              <w:rPr>
                <w:sz w:val="16"/>
                <w:szCs w:val="16"/>
              </w:rPr>
              <w:t>Finalizó</w:t>
            </w:r>
          </w:p>
          <w:p w14:paraId="290F3F58" w14:textId="77777777" w:rsidR="00645786" w:rsidRPr="00B74313" w:rsidRDefault="00645786" w:rsidP="008F5741">
            <w:pPr>
              <w:jc w:val="center"/>
              <w:cnfStyle w:val="000000100000" w:firstRow="0" w:lastRow="0" w:firstColumn="0" w:lastColumn="0" w:oddVBand="0" w:evenVBand="0" w:oddHBand="1" w:evenHBand="0" w:firstRowFirstColumn="0" w:firstRowLastColumn="0" w:lastRowFirstColumn="0" w:lastRowLastColumn="0"/>
              <w:rPr>
                <w:color w:val="FF0000"/>
                <w:sz w:val="16"/>
                <w:szCs w:val="16"/>
              </w:rPr>
            </w:pPr>
            <w:r w:rsidRPr="00B74313">
              <w:rPr>
                <w:sz w:val="16"/>
                <w:szCs w:val="16"/>
              </w:rPr>
              <w:t>18/julio/2018</w:t>
            </w:r>
          </w:p>
        </w:tc>
        <w:tc>
          <w:tcPr>
            <w:tcW w:w="1275" w:type="dxa"/>
            <w:shd w:val="clear" w:color="auto" w:fill="auto"/>
            <w:vAlign w:val="center"/>
          </w:tcPr>
          <w:p w14:paraId="3BA2B130" w14:textId="77777777" w:rsidR="00645786" w:rsidRPr="00B74313" w:rsidRDefault="00645786" w:rsidP="008B4B2F">
            <w:pPr>
              <w:jc w:val="center"/>
              <w:cnfStyle w:val="000000100000" w:firstRow="0" w:lastRow="0" w:firstColumn="0" w:lastColumn="0" w:oddVBand="0" w:evenVBand="0" w:oddHBand="1" w:evenHBand="0" w:firstRowFirstColumn="0" w:firstRowLastColumn="0" w:lastRowFirstColumn="0" w:lastRowLastColumn="0"/>
              <w:rPr>
                <w:sz w:val="16"/>
                <w:szCs w:val="16"/>
              </w:rPr>
            </w:pPr>
            <w:r w:rsidRPr="00B74313">
              <w:rPr>
                <w:sz w:val="16"/>
                <w:szCs w:val="16"/>
              </w:rPr>
              <w:t>94%</w:t>
            </w:r>
          </w:p>
          <w:p w14:paraId="1FA3E23A" w14:textId="3A4DC38C" w:rsidR="00645786" w:rsidRPr="00B74313" w:rsidRDefault="00645786" w:rsidP="008B4B2F">
            <w:pPr>
              <w:jc w:val="center"/>
              <w:cnfStyle w:val="000000100000" w:firstRow="0" w:lastRow="0" w:firstColumn="0" w:lastColumn="0" w:oddVBand="0" w:evenVBand="0" w:oddHBand="1" w:evenHBand="0" w:firstRowFirstColumn="0" w:firstRowLastColumn="0" w:lastRowFirstColumn="0" w:lastRowLastColumn="0"/>
              <w:rPr>
                <w:sz w:val="16"/>
                <w:szCs w:val="16"/>
              </w:rPr>
            </w:pPr>
            <w:r w:rsidRPr="00B74313">
              <w:rPr>
                <w:sz w:val="16"/>
                <w:szCs w:val="16"/>
              </w:rPr>
              <w:t>Según ejecución de pagos</w:t>
            </w:r>
          </w:p>
        </w:tc>
        <w:tc>
          <w:tcPr>
            <w:tcW w:w="3292" w:type="dxa"/>
            <w:shd w:val="clear" w:color="auto" w:fill="auto"/>
            <w:vAlign w:val="center"/>
          </w:tcPr>
          <w:p w14:paraId="3F157B7B" w14:textId="47B4A1E1" w:rsidR="008B4B2F" w:rsidRPr="00B74313" w:rsidRDefault="00645786" w:rsidP="008F5741">
            <w:pPr>
              <w:cnfStyle w:val="000000100000" w:firstRow="0" w:lastRow="0" w:firstColumn="0" w:lastColumn="0" w:oddVBand="0" w:evenVBand="0" w:oddHBand="1" w:evenHBand="0" w:firstRowFirstColumn="0" w:firstRowLastColumn="0" w:lastRowFirstColumn="0" w:lastRowLastColumn="0"/>
              <w:rPr>
                <w:i/>
                <w:sz w:val="16"/>
                <w:szCs w:val="16"/>
              </w:rPr>
            </w:pPr>
            <w:r w:rsidRPr="00B74313">
              <w:rPr>
                <w:i/>
                <w:sz w:val="16"/>
                <w:szCs w:val="16"/>
              </w:rPr>
              <w:t>El nuevo interventor asumió el 3</w:t>
            </w:r>
            <w:r w:rsidR="00B74313">
              <w:rPr>
                <w:i/>
                <w:sz w:val="16"/>
                <w:szCs w:val="16"/>
              </w:rPr>
              <w:t>/</w:t>
            </w:r>
            <w:r w:rsidRPr="00B74313">
              <w:rPr>
                <w:i/>
                <w:sz w:val="16"/>
                <w:szCs w:val="16"/>
              </w:rPr>
              <w:t>julio</w:t>
            </w:r>
            <w:r w:rsidR="00B74313">
              <w:rPr>
                <w:i/>
                <w:sz w:val="16"/>
                <w:szCs w:val="16"/>
              </w:rPr>
              <w:t>/</w:t>
            </w:r>
            <w:r w:rsidRPr="00B74313">
              <w:rPr>
                <w:i/>
                <w:sz w:val="16"/>
                <w:szCs w:val="16"/>
              </w:rPr>
              <w:t xml:space="preserve">2018. </w:t>
            </w:r>
          </w:p>
          <w:p w14:paraId="3A5BFF49" w14:textId="2080B74E" w:rsidR="00645786" w:rsidRPr="00B74313" w:rsidRDefault="00645786" w:rsidP="00645786">
            <w:pPr>
              <w:cnfStyle w:val="000000100000" w:firstRow="0" w:lastRow="0" w:firstColumn="0" w:lastColumn="0" w:oddVBand="0" w:evenVBand="0" w:oddHBand="1" w:evenHBand="0" w:firstRowFirstColumn="0" w:firstRowLastColumn="0" w:lastRowFirstColumn="0" w:lastRowLastColumn="0"/>
              <w:rPr>
                <w:i/>
                <w:color w:val="FF0000"/>
                <w:sz w:val="16"/>
                <w:szCs w:val="16"/>
              </w:rPr>
            </w:pPr>
          </w:p>
        </w:tc>
      </w:tr>
      <w:tr w:rsidR="00645786" w:rsidRPr="008B4B2F" w14:paraId="350CABD4" w14:textId="77777777" w:rsidTr="00B74313">
        <w:trPr>
          <w:trHeight w:val="624"/>
          <w:jc w:val="center"/>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vAlign w:val="center"/>
          </w:tcPr>
          <w:p w14:paraId="775C098F" w14:textId="77777777" w:rsidR="00645786" w:rsidRPr="00B74313" w:rsidRDefault="00645786" w:rsidP="008F5741">
            <w:pPr>
              <w:rPr>
                <w:b w:val="0"/>
                <w:bCs w:val="0"/>
                <w:sz w:val="16"/>
                <w:szCs w:val="16"/>
              </w:rPr>
            </w:pPr>
            <w:r w:rsidRPr="00B74313">
              <w:rPr>
                <w:b w:val="0"/>
                <w:sz w:val="16"/>
                <w:szCs w:val="16"/>
              </w:rPr>
              <w:t>Dirección general del proyecto</w:t>
            </w:r>
          </w:p>
          <w:p w14:paraId="20E7AC43" w14:textId="77777777" w:rsidR="00645786" w:rsidRPr="00B74313" w:rsidRDefault="00645786" w:rsidP="008F5741">
            <w:pPr>
              <w:rPr>
                <w:b w:val="0"/>
                <w:sz w:val="16"/>
                <w:szCs w:val="16"/>
              </w:rPr>
            </w:pPr>
            <w:r w:rsidRPr="00B74313">
              <w:rPr>
                <w:b w:val="0"/>
                <w:sz w:val="16"/>
                <w:szCs w:val="16"/>
              </w:rPr>
              <w:t>Contrato de consultoría nro. 10410037-002-2017</w:t>
            </w:r>
          </w:p>
        </w:tc>
        <w:tc>
          <w:tcPr>
            <w:tcW w:w="1134" w:type="dxa"/>
            <w:shd w:val="clear" w:color="auto" w:fill="auto"/>
            <w:vAlign w:val="center"/>
          </w:tcPr>
          <w:p w14:paraId="72C83CCF" w14:textId="77777777" w:rsidR="00645786" w:rsidRPr="00B74313" w:rsidRDefault="00645786" w:rsidP="008F5741">
            <w:pPr>
              <w:jc w:val="center"/>
              <w:cnfStyle w:val="000000000000" w:firstRow="0" w:lastRow="0" w:firstColumn="0" w:lastColumn="0" w:oddVBand="0" w:evenVBand="0" w:oddHBand="0" w:evenHBand="0" w:firstRowFirstColumn="0" w:firstRowLastColumn="0" w:lastRowFirstColumn="0" w:lastRowLastColumn="0"/>
              <w:rPr>
                <w:sz w:val="16"/>
                <w:szCs w:val="16"/>
              </w:rPr>
            </w:pPr>
            <w:r w:rsidRPr="00B74313">
              <w:rPr>
                <w:sz w:val="16"/>
                <w:szCs w:val="16"/>
              </w:rPr>
              <w:t>Vigente hasta</w:t>
            </w:r>
          </w:p>
          <w:p w14:paraId="06D1D36E" w14:textId="52206ABE" w:rsidR="00645786" w:rsidRPr="00B74313" w:rsidRDefault="00645786" w:rsidP="008F5741">
            <w:pPr>
              <w:jc w:val="center"/>
              <w:cnfStyle w:val="000000000000" w:firstRow="0" w:lastRow="0" w:firstColumn="0" w:lastColumn="0" w:oddVBand="0" w:evenVBand="0" w:oddHBand="0" w:evenHBand="0" w:firstRowFirstColumn="0" w:firstRowLastColumn="0" w:lastRowFirstColumn="0" w:lastRowLastColumn="0"/>
              <w:rPr>
                <w:sz w:val="16"/>
                <w:szCs w:val="16"/>
              </w:rPr>
            </w:pPr>
            <w:r w:rsidRPr="00B74313">
              <w:rPr>
                <w:sz w:val="16"/>
                <w:szCs w:val="16"/>
              </w:rPr>
              <w:t>18/09/2018</w:t>
            </w:r>
          </w:p>
        </w:tc>
        <w:tc>
          <w:tcPr>
            <w:tcW w:w="1275" w:type="dxa"/>
            <w:shd w:val="clear" w:color="auto" w:fill="auto"/>
            <w:vAlign w:val="center"/>
          </w:tcPr>
          <w:p w14:paraId="0C4F9258" w14:textId="6FE81F63" w:rsidR="00645786" w:rsidRPr="00B74313" w:rsidRDefault="00645786" w:rsidP="00B74313">
            <w:pPr>
              <w:jc w:val="center"/>
              <w:cnfStyle w:val="000000000000" w:firstRow="0" w:lastRow="0" w:firstColumn="0" w:lastColumn="0" w:oddVBand="0" w:evenVBand="0" w:oddHBand="0" w:evenHBand="0" w:firstRowFirstColumn="0" w:firstRowLastColumn="0" w:lastRowFirstColumn="0" w:lastRowLastColumn="0"/>
              <w:rPr>
                <w:sz w:val="16"/>
                <w:szCs w:val="16"/>
              </w:rPr>
            </w:pPr>
            <w:r w:rsidRPr="00B74313">
              <w:rPr>
                <w:sz w:val="16"/>
                <w:szCs w:val="16"/>
              </w:rPr>
              <w:t>75%</w:t>
            </w:r>
          </w:p>
          <w:p w14:paraId="055D13DF" w14:textId="63ADF695" w:rsidR="00645786" w:rsidRPr="00B74313" w:rsidRDefault="00645786" w:rsidP="00B74313">
            <w:pPr>
              <w:jc w:val="center"/>
              <w:cnfStyle w:val="000000000000" w:firstRow="0" w:lastRow="0" w:firstColumn="0" w:lastColumn="0" w:oddVBand="0" w:evenVBand="0" w:oddHBand="0" w:evenHBand="0" w:firstRowFirstColumn="0" w:firstRowLastColumn="0" w:lastRowFirstColumn="0" w:lastRowLastColumn="0"/>
              <w:rPr>
                <w:sz w:val="16"/>
                <w:szCs w:val="16"/>
              </w:rPr>
            </w:pPr>
            <w:r w:rsidRPr="00B74313">
              <w:rPr>
                <w:sz w:val="16"/>
                <w:szCs w:val="16"/>
              </w:rPr>
              <w:t>Según ejecución de pagos</w:t>
            </w:r>
          </w:p>
        </w:tc>
        <w:tc>
          <w:tcPr>
            <w:tcW w:w="3292" w:type="dxa"/>
            <w:shd w:val="clear" w:color="auto" w:fill="auto"/>
            <w:vAlign w:val="center"/>
          </w:tcPr>
          <w:p w14:paraId="3F62315E" w14:textId="0A0E2F6B" w:rsidR="00645786" w:rsidRPr="00B74313" w:rsidRDefault="00645786" w:rsidP="008F5741">
            <w:pPr>
              <w:cnfStyle w:val="000000000000" w:firstRow="0" w:lastRow="0" w:firstColumn="0" w:lastColumn="0" w:oddVBand="0" w:evenVBand="0" w:oddHBand="0" w:evenHBand="0" w:firstRowFirstColumn="0" w:firstRowLastColumn="0" w:lastRowFirstColumn="0" w:lastRowLastColumn="0"/>
              <w:rPr>
                <w:sz w:val="16"/>
                <w:szCs w:val="16"/>
              </w:rPr>
            </w:pPr>
            <w:r w:rsidRPr="00B74313">
              <w:rPr>
                <w:i/>
                <w:color w:val="FF0000"/>
                <w:sz w:val="16"/>
                <w:szCs w:val="16"/>
              </w:rPr>
              <w:t xml:space="preserve"> </w:t>
            </w:r>
          </w:p>
        </w:tc>
      </w:tr>
      <w:tr w:rsidR="00645786" w:rsidRPr="008B4B2F" w14:paraId="31A0F9A9" w14:textId="77777777" w:rsidTr="00B74313">
        <w:trPr>
          <w:cnfStyle w:val="000000100000" w:firstRow="0" w:lastRow="0" w:firstColumn="0" w:lastColumn="0" w:oddVBand="0" w:evenVBand="0" w:oddHBand="1" w:evenHBand="0" w:firstRowFirstColumn="0" w:firstRowLastColumn="0" w:lastRowFirstColumn="0" w:lastRowLastColumn="0"/>
          <w:trHeight w:val="995"/>
          <w:jc w:val="center"/>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vAlign w:val="center"/>
          </w:tcPr>
          <w:p w14:paraId="3121FF8F" w14:textId="01FEAA5F" w:rsidR="00645786" w:rsidRPr="00B74313" w:rsidRDefault="00645786" w:rsidP="008F5741">
            <w:pPr>
              <w:rPr>
                <w:b w:val="0"/>
                <w:bCs w:val="0"/>
                <w:sz w:val="16"/>
                <w:szCs w:val="16"/>
              </w:rPr>
            </w:pPr>
            <w:r w:rsidRPr="00B74313">
              <w:rPr>
                <w:b w:val="0"/>
                <w:sz w:val="16"/>
                <w:szCs w:val="16"/>
              </w:rPr>
              <w:t>Administración de recursos para la adquisición de los estudios y diseños arquitectónicos, urbanísticos y técnicos del denominado “Complejo de la Salud” de la Universidad de Antioquia.</w:t>
            </w:r>
          </w:p>
          <w:p w14:paraId="7803BCBF" w14:textId="6B1EE5B3" w:rsidR="00645786" w:rsidRPr="00B74313" w:rsidRDefault="00645786" w:rsidP="008F5741">
            <w:pPr>
              <w:rPr>
                <w:b w:val="0"/>
                <w:sz w:val="16"/>
                <w:szCs w:val="16"/>
              </w:rPr>
            </w:pPr>
            <w:r w:rsidRPr="00B74313">
              <w:rPr>
                <w:b w:val="0"/>
                <w:sz w:val="16"/>
                <w:szCs w:val="16"/>
              </w:rPr>
              <w:t>CIS contrato de mandato 10410037-003-2017:</w:t>
            </w:r>
          </w:p>
        </w:tc>
        <w:tc>
          <w:tcPr>
            <w:tcW w:w="1134" w:type="dxa"/>
            <w:shd w:val="clear" w:color="auto" w:fill="auto"/>
            <w:vAlign w:val="center"/>
          </w:tcPr>
          <w:p w14:paraId="426CDDA7" w14:textId="77777777" w:rsidR="00645786" w:rsidRPr="00B74313" w:rsidRDefault="00645786" w:rsidP="008F5741">
            <w:pPr>
              <w:jc w:val="center"/>
              <w:cnfStyle w:val="000000100000" w:firstRow="0" w:lastRow="0" w:firstColumn="0" w:lastColumn="0" w:oddVBand="0" w:evenVBand="0" w:oddHBand="1" w:evenHBand="0" w:firstRowFirstColumn="0" w:firstRowLastColumn="0" w:lastRowFirstColumn="0" w:lastRowLastColumn="0"/>
              <w:rPr>
                <w:sz w:val="16"/>
                <w:szCs w:val="16"/>
              </w:rPr>
            </w:pPr>
            <w:r w:rsidRPr="00B74313">
              <w:rPr>
                <w:sz w:val="16"/>
                <w:szCs w:val="16"/>
              </w:rPr>
              <w:t>Vigente</w:t>
            </w:r>
          </w:p>
          <w:p w14:paraId="6580380B" w14:textId="46E8B0D1" w:rsidR="00645786" w:rsidRPr="00B74313" w:rsidRDefault="00645786" w:rsidP="008F5741">
            <w:pPr>
              <w:jc w:val="center"/>
              <w:cnfStyle w:val="000000100000" w:firstRow="0" w:lastRow="0" w:firstColumn="0" w:lastColumn="0" w:oddVBand="0" w:evenVBand="0" w:oddHBand="1" w:evenHBand="0" w:firstRowFirstColumn="0" w:firstRowLastColumn="0" w:lastRowFirstColumn="0" w:lastRowLastColumn="0"/>
              <w:rPr>
                <w:sz w:val="16"/>
                <w:szCs w:val="16"/>
              </w:rPr>
            </w:pPr>
            <w:r w:rsidRPr="00B74313">
              <w:rPr>
                <w:sz w:val="16"/>
                <w:szCs w:val="16"/>
              </w:rPr>
              <w:t xml:space="preserve">hasta </w:t>
            </w:r>
          </w:p>
          <w:p w14:paraId="02F2D8D0" w14:textId="087CB065" w:rsidR="00645786" w:rsidRPr="00B74313" w:rsidRDefault="00645786" w:rsidP="008F5741">
            <w:pPr>
              <w:jc w:val="center"/>
              <w:cnfStyle w:val="000000100000" w:firstRow="0" w:lastRow="0" w:firstColumn="0" w:lastColumn="0" w:oddVBand="0" w:evenVBand="0" w:oddHBand="1" w:evenHBand="0" w:firstRowFirstColumn="0" w:firstRowLastColumn="0" w:lastRowFirstColumn="0" w:lastRowLastColumn="0"/>
              <w:rPr>
                <w:sz w:val="16"/>
                <w:szCs w:val="16"/>
              </w:rPr>
            </w:pPr>
            <w:r w:rsidRPr="00B74313">
              <w:rPr>
                <w:sz w:val="16"/>
                <w:szCs w:val="16"/>
              </w:rPr>
              <w:t>26/12/2018</w:t>
            </w:r>
          </w:p>
        </w:tc>
        <w:tc>
          <w:tcPr>
            <w:tcW w:w="1275" w:type="dxa"/>
            <w:shd w:val="clear" w:color="auto" w:fill="auto"/>
            <w:vAlign w:val="center"/>
          </w:tcPr>
          <w:p w14:paraId="2AFBF609" w14:textId="70D08FDE" w:rsidR="00645786" w:rsidRPr="00B74313" w:rsidRDefault="003A7278" w:rsidP="00B74313">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18</w:t>
            </w:r>
            <w:r w:rsidR="008B6C94" w:rsidRPr="008B6C94">
              <w:rPr>
                <w:sz w:val="16"/>
                <w:szCs w:val="16"/>
              </w:rPr>
              <w:t xml:space="preserve"> </w:t>
            </w:r>
            <w:r w:rsidR="00645786" w:rsidRPr="00B74313">
              <w:rPr>
                <w:sz w:val="16"/>
                <w:szCs w:val="16"/>
              </w:rPr>
              <w:t>%</w:t>
            </w:r>
          </w:p>
          <w:p w14:paraId="35CCCC6B" w14:textId="1F1A802D" w:rsidR="00645786" w:rsidRPr="00B74313" w:rsidRDefault="00645786" w:rsidP="00B74313">
            <w:pPr>
              <w:jc w:val="center"/>
              <w:cnfStyle w:val="000000100000" w:firstRow="0" w:lastRow="0" w:firstColumn="0" w:lastColumn="0" w:oddVBand="0" w:evenVBand="0" w:oddHBand="1" w:evenHBand="0" w:firstRowFirstColumn="0" w:firstRowLastColumn="0" w:lastRowFirstColumn="0" w:lastRowLastColumn="0"/>
              <w:rPr>
                <w:sz w:val="16"/>
                <w:szCs w:val="16"/>
              </w:rPr>
            </w:pPr>
            <w:r w:rsidRPr="00B74313">
              <w:rPr>
                <w:sz w:val="16"/>
                <w:szCs w:val="16"/>
              </w:rPr>
              <w:t>Según ejecución de pagos</w:t>
            </w:r>
          </w:p>
        </w:tc>
        <w:tc>
          <w:tcPr>
            <w:tcW w:w="3292" w:type="dxa"/>
            <w:shd w:val="clear" w:color="auto" w:fill="auto"/>
            <w:vAlign w:val="center"/>
          </w:tcPr>
          <w:p w14:paraId="0CCB0682" w14:textId="77777777" w:rsidR="00645786" w:rsidRPr="00B74313" w:rsidRDefault="00645786" w:rsidP="008F5741">
            <w:pPr>
              <w:cnfStyle w:val="000000100000" w:firstRow="0" w:lastRow="0" w:firstColumn="0" w:lastColumn="0" w:oddVBand="0" w:evenVBand="0" w:oddHBand="1" w:evenHBand="0" w:firstRowFirstColumn="0" w:firstRowLastColumn="0" w:lastRowFirstColumn="0" w:lastRowLastColumn="0"/>
              <w:rPr>
                <w:i/>
                <w:sz w:val="16"/>
                <w:szCs w:val="16"/>
              </w:rPr>
            </w:pPr>
            <w:r w:rsidRPr="00B74313">
              <w:rPr>
                <w:i/>
                <w:sz w:val="16"/>
                <w:szCs w:val="16"/>
              </w:rPr>
              <w:t>Otrosí 1: modifica la interventoría.</w:t>
            </w:r>
          </w:p>
          <w:p w14:paraId="63C55056" w14:textId="77777777" w:rsidR="00645786" w:rsidRPr="00B74313" w:rsidRDefault="00645786" w:rsidP="008F5741">
            <w:pPr>
              <w:cnfStyle w:val="000000100000" w:firstRow="0" w:lastRow="0" w:firstColumn="0" w:lastColumn="0" w:oddVBand="0" w:evenVBand="0" w:oddHBand="1" w:evenHBand="0" w:firstRowFirstColumn="0" w:firstRowLastColumn="0" w:lastRowFirstColumn="0" w:lastRowLastColumn="0"/>
              <w:rPr>
                <w:i/>
                <w:sz w:val="16"/>
                <w:szCs w:val="16"/>
              </w:rPr>
            </w:pPr>
            <w:r w:rsidRPr="00B74313">
              <w:rPr>
                <w:i/>
                <w:sz w:val="16"/>
                <w:szCs w:val="16"/>
              </w:rPr>
              <w:t>Otrosí 2: modifica la interventoría.</w:t>
            </w:r>
          </w:p>
          <w:p w14:paraId="23A7EC67" w14:textId="77777777" w:rsidR="00645786" w:rsidRPr="00B74313" w:rsidRDefault="00645786" w:rsidP="008F5741">
            <w:pPr>
              <w:cnfStyle w:val="000000100000" w:firstRow="0" w:lastRow="0" w:firstColumn="0" w:lastColumn="0" w:oddVBand="0" w:evenVBand="0" w:oddHBand="1" w:evenHBand="0" w:firstRowFirstColumn="0" w:firstRowLastColumn="0" w:lastRowFirstColumn="0" w:lastRowLastColumn="0"/>
              <w:rPr>
                <w:i/>
                <w:sz w:val="16"/>
                <w:szCs w:val="16"/>
              </w:rPr>
            </w:pPr>
            <w:r w:rsidRPr="00B74313">
              <w:rPr>
                <w:i/>
                <w:sz w:val="16"/>
                <w:szCs w:val="16"/>
              </w:rPr>
              <w:t>Otrosí 3: aclaran valor del contrato.</w:t>
            </w:r>
          </w:p>
          <w:p w14:paraId="7C24FA3D" w14:textId="77777777" w:rsidR="00645786" w:rsidRPr="00B74313" w:rsidRDefault="00645786" w:rsidP="008F5741">
            <w:pPr>
              <w:cnfStyle w:val="000000100000" w:firstRow="0" w:lastRow="0" w:firstColumn="0" w:lastColumn="0" w:oddVBand="0" w:evenVBand="0" w:oddHBand="1" w:evenHBand="0" w:firstRowFirstColumn="0" w:firstRowLastColumn="0" w:lastRowFirstColumn="0" w:lastRowLastColumn="0"/>
              <w:rPr>
                <w:i/>
                <w:sz w:val="16"/>
                <w:szCs w:val="16"/>
              </w:rPr>
            </w:pPr>
            <w:r w:rsidRPr="00B74313">
              <w:rPr>
                <w:i/>
                <w:sz w:val="16"/>
                <w:szCs w:val="16"/>
              </w:rPr>
              <w:t>Otrosí 4: Prórroga a 26/dic/2018</w:t>
            </w:r>
          </w:p>
        </w:tc>
      </w:tr>
      <w:tr w:rsidR="00645786" w:rsidRPr="008B4B2F" w14:paraId="2469B6BB" w14:textId="77777777" w:rsidTr="00FF02EC">
        <w:trPr>
          <w:trHeight w:val="964"/>
          <w:jc w:val="center"/>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vAlign w:val="center"/>
          </w:tcPr>
          <w:p w14:paraId="079699D8" w14:textId="47E2088E" w:rsidR="00645786" w:rsidRPr="00B74313" w:rsidRDefault="00645786" w:rsidP="008F5741">
            <w:pPr>
              <w:rPr>
                <w:b w:val="0"/>
                <w:sz w:val="16"/>
                <w:szCs w:val="16"/>
              </w:rPr>
            </w:pPr>
            <w:r w:rsidRPr="00B74313">
              <w:rPr>
                <w:b w:val="0"/>
                <w:sz w:val="16"/>
                <w:szCs w:val="16"/>
              </w:rPr>
              <w:lastRenderedPageBreak/>
              <w:t>Contrato CPS-2018-109- entre la UT SM+SÍNTESIS y la CIS</w:t>
            </w:r>
            <w:r w:rsidR="00CF04E4">
              <w:rPr>
                <w:b w:val="0"/>
                <w:sz w:val="16"/>
                <w:szCs w:val="16"/>
              </w:rPr>
              <w:t>.</w:t>
            </w:r>
          </w:p>
          <w:p w14:paraId="3798B7F4" w14:textId="57279BC8" w:rsidR="00645786" w:rsidRPr="00B74313" w:rsidRDefault="00645786" w:rsidP="008F5741">
            <w:pPr>
              <w:rPr>
                <w:b w:val="0"/>
                <w:sz w:val="16"/>
                <w:szCs w:val="16"/>
              </w:rPr>
            </w:pPr>
            <w:r w:rsidRPr="00B74313">
              <w:rPr>
                <w:b w:val="0"/>
                <w:sz w:val="16"/>
                <w:szCs w:val="16"/>
              </w:rPr>
              <w:t>Objeto: ejecutar y coordinar los diseños arquitectónicos y urbanísticos y, en caso de existir el acuerdo económico respectivo, los diseños técnicos definitivos.</w:t>
            </w:r>
          </w:p>
        </w:tc>
        <w:tc>
          <w:tcPr>
            <w:tcW w:w="1134" w:type="dxa"/>
            <w:shd w:val="clear" w:color="auto" w:fill="auto"/>
            <w:vAlign w:val="center"/>
          </w:tcPr>
          <w:p w14:paraId="65739CF2" w14:textId="77777777" w:rsidR="009E617B" w:rsidRPr="00B74313" w:rsidRDefault="009E617B" w:rsidP="009E617B">
            <w:pPr>
              <w:jc w:val="center"/>
              <w:cnfStyle w:val="000000000000" w:firstRow="0" w:lastRow="0" w:firstColumn="0" w:lastColumn="0" w:oddVBand="0" w:evenVBand="0" w:oddHBand="0" w:evenHBand="0" w:firstRowFirstColumn="0" w:firstRowLastColumn="0" w:lastRowFirstColumn="0" w:lastRowLastColumn="0"/>
              <w:rPr>
                <w:sz w:val="16"/>
                <w:szCs w:val="16"/>
              </w:rPr>
            </w:pPr>
            <w:r w:rsidRPr="00B74313">
              <w:rPr>
                <w:sz w:val="16"/>
                <w:szCs w:val="16"/>
              </w:rPr>
              <w:t>Vigente</w:t>
            </w:r>
          </w:p>
          <w:p w14:paraId="1F58E52E" w14:textId="77777777" w:rsidR="009E617B" w:rsidRPr="00B74313" w:rsidRDefault="009E617B" w:rsidP="009E617B">
            <w:pPr>
              <w:jc w:val="center"/>
              <w:cnfStyle w:val="000000000000" w:firstRow="0" w:lastRow="0" w:firstColumn="0" w:lastColumn="0" w:oddVBand="0" w:evenVBand="0" w:oddHBand="0" w:evenHBand="0" w:firstRowFirstColumn="0" w:firstRowLastColumn="0" w:lastRowFirstColumn="0" w:lastRowLastColumn="0"/>
              <w:rPr>
                <w:sz w:val="16"/>
                <w:szCs w:val="16"/>
              </w:rPr>
            </w:pPr>
            <w:r w:rsidRPr="00B74313">
              <w:rPr>
                <w:sz w:val="16"/>
                <w:szCs w:val="16"/>
              </w:rPr>
              <w:t xml:space="preserve">hasta </w:t>
            </w:r>
          </w:p>
          <w:p w14:paraId="78D5E63A" w14:textId="0D986FCA" w:rsidR="00645786" w:rsidRPr="00B74313" w:rsidRDefault="009E617B" w:rsidP="009E617B">
            <w:pPr>
              <w:jc w:val="center"/>
              <w:cnfStyle w:val="000000000000" w:firstRow="0" w:lastRow="0" w:firstColumn="0" w:lastColumn="0" w:oddVBand="0" w:evenVBand="0" w:oddHBand="0" w:evenHBand="0" w:firstRowFirstColumn="0" w:firstRowLastColumn="0" w:lastRowFirstColumn="0" w:lastRowLastColumn="0"/>
              <w:rPr>
                <w:sz w:val="16"/>
                <w:szCs w:val="16"/>
              </w:rPr>
            </w:pPr>
            <w:r w:rsidRPr="00B74313">
              <w:rPr>
                <w:sz w:val="16"/>
                <w:szCs w:val="16"/>
              </w:rPr>
              <w:t>1/12/</w:t>
            </w:r>
            <w:r w:rsidR="00906553" w:rsidRPr="00B74313">
              <w:rPr>
                <w:sz w:val="16"/>
                <w:szCs w:val="16"/>
              </w:rPr>
              <w:t>2018</w:t>
            </w:r>
          </w:p>
        </w:tc>
        <w:tc>
          <w:tcPr>
            <w:tcW w:w="1275" w:type="dxa"/>
            <w:shd w:val="clear" w:color="auto" w:fill="auto"/>
            <w:vAlign w:val="center"/>
          </w:tcPr>
          <w:p w14:paraId="6015184D" w14:textId="77777777" w:rsidR="00645786" w:rsidRPr="00B74313" w:rsidRDefault="00645786" w:rsidP="00CF04E4">
            <w:pPr>
              <w:jc w:val="center"/>
              <w:cnfStyle w:val="000000000000" w:firstRow="0" w:lastRow="0" w:firstColumn="0" w:lastColumn="0" w:oddVBand="0" w:evenVBand="0" w:oddHBand="0" w:evenHBand="0" w:firstRowFirstColumn="0" w:firstRowLastColumn="0" w:lastRowFirstColumn="0" w:lastRowLastColumn="0"/>
              <w:rPr>
                <w:sz w:val="16"/>
                <w:szCs w:val="16"/>
              </w:rPr>
            </w:pPr>
            <w:r w:rsidRPr="00B74313">
              <w:rPr>
                <w:sz w:val="16"/>
                <w:szCs w:val="16"/>
              </w:rPr>
              <w:t>40%</w:t>
            </w:r>
          </w:p>
          <w:p w14:paraId="56FEF107" w14:textId="0E141078" w:rsidR="00645786" w:rsidRPr="00B74313" w:rsidRDefault="00930EA0" w:rsidP="00FF02EC">
            <w:pPr>
              <w:jc w:val="center"/>
              <w:cnfStyle w:val="000000000000" w:firstRow="0" w:lastRow="0" w:firstColumn="0" w:lastColumn="0" w:oddVBand="0" w:evenVBand="0" w:oddHBand="0" w:evenHBand="0" w:firstRowFirstColumn="0" w:firstRowLastColumn="0" w:lastRowFirstColumn="0" w:lastRowLastColumn="0"/>
              <w:rPr>
                <w:sz w:val="16"/>
                <w:szCs w:val="16"/>
              </w:rPr>
            </w:pPr>
            <w:r w:rsidRPr="00B74313">
              <w:rPr>
                <w:sz w:val="16"/>
                <w:szCs w:val="16"/>
              </w:rPr>
              <w:t>P</w:t>
            </w:r>
            <w:r w:rsidR="00645786" w:rsidRPr="00B74313">
              <w:rPr>
                <w:sz w:val="16"/>
                <w:szCs w:val="16"/>
              </w:rPr>
              <w:t>ro</w:t>
            </w:r>
            <w:r w:rsidRPr="00B74313">
              <w:rPr>
                <w:sz w:val="16"/>
                <w:szCs w:val="16"/>
              </w:rPr>
              <w:t>yectad</w:t>
            </w:r>
            <w:r w:rsidR="00645786" w:rsidRPr="00B74313">
              <w:rPr>
                <w:sz w:val="16"/>
                <w:szCs w:val="16"/>
              </w:rPr>
              <w:t>o por los arquitectos</w:t>
            </w:r>
          </w:p>
        </w:tc>
        <w:tc>
          <w:tcPr>
            <w:tcW w:w="3292" w:type="dxa"/>
            <w:shd w:val="clear" w:color="auto" w:fill="auto"/>
            <w:vAlign w:val="center"/>
          </w:tcPr>
          <w:p w14:paraId="4EE0E2CD" w14:textId="3E9AA128" w:rsidR="00645786" w:rsidRPr="00B74313" w:rsidRDefault="00645786" w:rsidP="008F5741">
            <w:pPr>
              <w:cnfStyle w:val="000000000000" w:firstRow="0" w:lastRow="0" w:firstColumn="0" w:lastColumn="0" w:oddVBand="0" w:evenVBand="0" w:oddHBand="0" w:evenHBand="0" w:firstRowFirstColumn="0" w:firstRowLastColumn="0" w:lastRowFirstColumn="0" w:lastRowLastColumn="0"/>
              <w:rPr>
                <w:sz w:val="16"/>
                <w:szCs w:val="16"/>
              </w:rPr>
            </w:pPr>
            <w:r w:rsidRPr="00B74313">
              <w:rPr>
                <w:i/>
                <w:sz w:val="16"/>
                <w:szCs w:val="16"/>
              </w:rPr>
              <w:t>Presenta varios condicionantes no resuelto</w:t>
            </w:r>
            <w:r w:rsidR="008B6C94">
              <w:rPr>
                <w:i/>
                <w:sz w:val="16"/>
                <w:szCs w:val="16"/>
              </w:rPr>
              <w:t>s</w:t>
            </w:r>
            <w:r w:rsidRPr="00B74313">
              <w:rPr>
                <w:i/>
                <w:sz w:val="16"/>
                <w:szCs w:val="16"/>
              </w:rPr>
              <w:t xml:space="preserve"> relacionados con pagos pendientes.</w:t>
            </w:r>
          </w:p>
        </w:tc>
      </w:tr>
      <w:tr w:rsidR="00645786" w:rsidRPr="008B4B2F" w14:paraId="1E409B6C" w14:textId="77777777" w:rsidTr="00B7431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vAlign w:val="center"/>
          </w:tcPr>
          <w:p w14:paraId="0693D8C3" w14:textId="77777777" w:rsidR="00645786" w:rsidRPr="00B74313" w:rsidRDefault="00645786" w:rsidP="008F5741">
            <w:pPr>
              <w:rPr>
                <w:b w:val="0"/>
                <w:sz w:val="16"/>
                <w:szCs w:val="16"/>
              </w:rPr>
            </w:pPr>
            <w:r w:rsidRPr="00B74313">
              <w:rPr>
                <w:b w:val="0"/>
                <w:sz w:val="16"/>
                <w:szCs w:val="16"/>
              </w:rPr>
              <w:t>Contrato de prestación de servicios número CPS -2018-175 suscrito entre la CIS y GEO2 S.A.S.  para el estudio de suelos del complejo de la salud.</w:t>
            </w:r>
          </w:p>
        </w:tc>
        <w:tc>
          <w:tcPr>
            <w:tcW w:w="1134" w:type="dxa"/>
            <w:shd w:val="clear" w:color="auto" w:fill="auto"/>
            <w:vAlign w:val="center"/>
          </w:tcPr>
          <w:p w14:paraId="70EF667C" w14:textId="7DD583BF" w:rsidR="00645786" w:rsidRPr="00B74313" w:rsidRDefault="00645786" w:rsidP="00E950E6">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75" w:type="dxa"/>
            <w:shd w:val="clear" w:color="auto" w:fill="auto"/>
            <w:vAlign w:val="center"/>
          </w:tcPr>
          <w:p w14:paraId="2A431C61" w14:textId="0ED2AAA9" w:rsidR="00645786" w:rsidRPr="00B74313" w:rsidRDefault="00645786" w:rsidP="00645786">
            <w:pPr>
              <w:jc w:val="center"/>
              <w:cnfStyle w:val="000000100000" w:firstRow="0" w:lastRow="0" w:firstColumn="0" w:lastColumn="0" w:oddVBand="0" w:evenVBand="0" w:oddHBand="1" w:evenHBand="0" w:firstRowFirstColumn="0" w:firstRowLastColumn="0" w:lastRowFirstColumn="0" w:lastRowLastColumn="0"/>
              <w:rPr>
                <w:bCs/>
                <w:sz w:val="16"/>
                <w:szCs w:val="16"/>
              </w:rPr>
            </w:pPr>
            <w:r w:rsidRPr="00B74313">
              <w:rPr>
                <w:sz w:val="16"/>
                <w:szCs w:val="16"/>
              </w:rPr>
              <w:t>65%</w:t>
            </w:r>
          </w:p>
        </w:tc>
        <w:tc>
          <w:tcPr>
            <w:tcW w:w="3292" w:type="dxa"/>
            <w:shd w:val="clear" w:color="auto" w:fill="auto"/>
            <w:vAlign w:val="center"/>
          </w:tcPr>
          <w:p w14:paraId="6BA46EEE" w14:textId="456F09BA" w:rsidR="00645786" w:rsidRPr="00B74313" w:rsidRDefault="00930EA0" w:rsidP="00930EA0">
            <w:pPr>
              <w:jc w:val="both"/>
              <w:cnfStyle w:val="000000100000" w:firstRow="0" w:lastRow="0" w:firstColumn="0" w:lastColumn="0" w:oddVBand="0" w:evenVBand="0" w:oddHBand="1" w:evenHBand="0" w:firstRowFirstColumn="0" w:firstRowLastColumn="0" w:lastRowFirstColumn="0" w:lastRowLastColumn="0"/>
              <w:rPr>
                <w:sz w:val="16"/>
                <w:szCs w:val="16"/>
              </w:rPr>
            </w:pPr>
            <w:r w:rsidRPr="00B74313">
              <w:rPr>
                <w:bCs/>
                <w:sz w:val="16"/>
                <w:szCs w:val="16"/>
              </w:rPr>
              <w:t>E</w:t>
            </w:r>
            <w:r w:rsidR="00645786" w:rsidRPr="00B74313">
              <w:rPr>
                <w:bCs/>
                <w:sz w:val="16"/>
                <w:szCs w:val="16"/>
              </w:rPr>
              <w:t>n</w:t>
            </w:r>
            <w:r w:rsidRPr="00B74313">
              <w:rPr>
                <w:bCs/>
                <w:sz w:val="16"/>
                <w:szCs w:val="16"/>
              </w:rPr>
              <w:t xml:space="preserve"> el marco de la suspensión del c</w:t>
            </w:r>
            <w:r w:rsidR="00645786" w:rsidRPr="00B74313">
              <w:rPr>
                <w:bCs/>
                <w:sz w:val="16"/>
                <w:szCs w:val="16"/>
              </w:rPr>
              <w:t>ontrato</w:t>
            </w:r>
            <w:r w:rsidRPr="00B74313">
              <w:rPr>
                <w:bCs/>
                <w:sz w:val="16"/>
                <w:szCs w:val="16"/>
              </w:rPr>
              <w:t xml:space="preserve"> planteada el 2 de mayo de 2018</w:t>
            </w:r>
            <w:r w:rsidR="00645786" w:rsidRPr="00B74313">
              <w:rPr>
                <w:bCs/>
                <w:sz w:val="16"/>
                <w:szCs w:val="16"/>
              </w:rPr>
              <w:t xml:space="preserve">, </w:t>
            </w:r>
            <w:r w:rsidRPr="00B74313">
              <w:rPr>
                <w:bCs/>
                <w:sz w:val="16"/>
                <w:szCs w:val="16"/>
              </w:rPr>
              <w:t>relacionan</w:t>
            </w:r>
            <w:r w:rsidR="00645786" w:rsidRPr="00B74313">
              <w:rPr>
                <w:bCs/>
                <w:sz w:val="16"/>
                <w:szCs w:val="16"/>
              </w:rPr>
              <w:t xml:space="preserve"> un avance del 65% entre exploraciones de campo y ensayos de laboratorio.</w:t>
            </w:r>
          </w:p>
        </w:tc>
      </w:tr>
      <w:tr w:rsidR="00645786" w:rsidRPr="008B4B2F" w14:paraId="4A9D48E3" w14:textId="77777777" w:rsidTr="00FF02EC">
        <w:trPr>
          <w:trHeight w:val="283"/>
          <w:jc w:val="center"/>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vAlign w:val="center"/>
          </w:tcPr>
          <w:p w14:paraId="56C81FE0" w14:textId="4FD4EBC0" w:rsidR="00645786" w:rsidRPr="00B74313" w:rsidRDefault="00645786" w:rsidP="00CF04E4">
            <w:pPr>
              <w:rPr>
                <w:b w:val="0"/>
                <w:sz w:val="16"/>
                <w:szCs w:val="16"/>
              </w:rPr>
            </w:pPr>
            <w:r w:rsidRPr="00B74313">
              <w:rPr>
                <w:b w:val="0"/>
                <w:sz w:val="16"/>
                <w:szCs w:val="16"/>
              </w:rPr>
              <w:t>Interventoría</w:t>
            </w:r>
            <w:r w:rsidR="00CF04E4">
              <w:rPr>
                <w:b w:val="0"/>
                <w:sz w:val="16"/>
                <w:szCs w:val="16"/>
              </w:rPr>
              <w:t xml:space="preserve">. </w:t>
            </w:r>
            <w:r w:rsidRPr="00B74313">
              <w:rPr>
                <w:b w:val="0"/>
                <w:sz w:val="16"/>
                <w:szCs w:val="16"/>
              </w:rPr>
              <w:t>Profesional 8 temporal</w:t>
            </w:r>
          </w:p>
        </w:tc>
        <w:tc>
          <w:tcPr>
            <w:tcW w:w="1134" w:type="dxa"/>
            <w:shd w:val="clear" w:color="auto" w:fill="auto"/>
            <w:vAlign w:val="center"/>
          </w:tcPr>
          <w:p w14:paraId="567BAA9E" w14:textId="1EC9B32A" w:rsidR="00645786" w:rsidRPr="00B74313" w:rsidRDefault="00645786" w:rsidP="00645786">
            <w:pPr>
              <w:jc w:val="center"/>
              <w:cnfStyle w:val="000000000000" w:firstRow="0" w:lastRow="0" w:firstColumn="0" w:lastColumn="0" w:oddVBand="0" w:evenVBand="0" w:oddHBand="0" w:evenHBand="0" w:firstRowFirstColumn="0" w:firstRowLastColumn="0" w:lastRowFirstColumn="0" w:lastRowLastColumn="0"/>
              <w:rPr>
                <w:sz w:val="16"/>
                <w:szCs w:val="16"/>
              </w:rPr>
            </w:pPr>
            <w:r w:rsidRPr="00B74313">
              <w:rPr>
                <w:sz w:val="16"/>
                <w:szCs w:val="16"/>
              </w:rPr>
              <w:t>Finalizado</w:t>
            </w:r>
          </w:p>
        </w:tc>
        <w:tc>
          <w:tcPr>
            <w:tcW w:w="1275" w:type="dxa"/>
            <w:shd w:val="clear" w:color="auto" w:fill="auto"/>
            <w:vAlign w:val="center"/>
          </w:tcPr>
          <w:p w14:paraId="6D64164E" w14:textId="07C46357" w:rsidR="00645786" w:rsidRPr="00B74313" w:rsidRDefault="00645786" w:rsidP="00E950E6">
            <w:pPr>
              <w:jc w:val="center"/>
              <w:cnfStyle w:val="000000000000" w:firstRow="0" w:lastRow="0" w:firstColumn="0" w:lastColumn="0" w:oddVBand="0" w:evenVBand="0" w:oddHBand="0" w:evenHBand="0" w:firstRowFirstColumn="0" w:firstRowLastColumn="0" w:lastRowFirstColumn="0" w:lastRowLastColumn="0"/>
              <w:rPr>
                <w:bCs/>
                <w:sz w:val="16"/>
                <w:szCs w:val="16"/>
              </w:rPr>
            </w:pPr>
            <w:r w:rsidRPr="00B74313">
              <w:rPr>
                <w:bCs/>
                <w:sz w:val="16"/>
                <w:szCs w:val="16"/>
              </w:rPr>
              <w:t>100%</w:t>
            </w:r>
          </w:p>
        </w:tc>
        <w:tc>
          <w:tcPr>
            <w:tcW w:w="3292" w:type="dxa"/>
            <w:shd w:val="clear" w:color="auto" w:fill="auto"/>
            <w:vAlign w:val="center"/>
          </w:tcPr>
          <w:p w14:paraId="33B890F1" w14:textId="5EBDD38A" w:rsidR="00645786" w:rsidRPr="00B74313" w:rsidRDefault="00645786" w:rsidP="008F5741">
            <w:pPr>
              <w:jc w:val="both"/>
              <w:cnfStyle w:val="000000000000" w:firstRow="0" w:lastRow="0" w:firstColumn="0" w:lastColumn="0" w:oddVBand="0" w:evenVBand="0" w:oddHBand="0" w:evenHBand="0" w:firstRowFirstColumn="0" w:firstRowLastColumn="0" w:lastRowFirstColumn="0" w:lastRowLastColumn="0"/>
              <w:rPr>
                <w:bCs/>
                <w:sz w:val="16"/>
                <w:szCs w:val="16"/>
              </w:rPr>
            </w:pPr>
            <w:r w:rsidRPr="00B74313">
              <w:rPr>
                <w:bCs/>
                <w:sz w:val="16"/>
                <w:szCs w:val="16"/>
              </w:rPr>
              <w:t>La vinculación laboral finalizó el 30</w:t>
            </w:r>
            <w:r w:rsidR="00CF04E4">
              <w:rPr>
                <w:bCs/>
                <w:sz w:val="16"/>
                <w:szCs w:val="16"/>
              </w:rPr>
              <w:t>/</w:t>
            </w:r>
            <w:r w:rsidRPr="00B74313">
              <w:rPr>
                <w:bCs/>
                <w:sz w:val="16"/>
                <w:szCs w:val="16"/>
              </w:rPr>
              <w:t>junio</w:t>
            </w:r>
            <w:r w:rsidR="00CF04E4">
              <w:rPr>
                <w:bCs/>
                <w:sz w:val="16"/>
                <w:szCs w:val="16"/>
              </w:rPr>
              <w:t>/</w:t>
            </w:r>
            <w:r w:rsidRPr="00B74313">
              <w:rPr>
                <w:bCs/>
                <w:sz w:val="16"/>
                <w:szCs w:val="16"/>
              </w:rPr>
              <w:t>2018.</w:t>
            </w:r>
          </w:p>
        </w:tc>
      </w:tr>
    </w:tbl>
    <w:p w14:paraId="5E22B434" w14:textId="241FB293" w:rsidR="008F5741" w:rsidRDefault="008F5741" w:rsidP="008F5741">
      <w:pPr>
        <w:jc w:val="both"/>
        <w:rPr>
          <w:sz w:val="22"/>
        </w:rPr>
      </w:pPr>
    </w:p>
    <w:p w14:paraId="23C623F9" w14:textId="77777777" w:rsidR="008F5741" w:rsidRPr="00241D69" w:rsidRDefault="008F5741" w:rsidP="008F5741">
      <w:pPr>
        <w:pStyle w:val="Prrafodelista"/>
        <w:numPr>
          <w:ilvl w:val="0"/>
          <w:numId w:val="50"/>
        </w:numPr>
        <w:ind w:left="426" w:hanging="426"/>
        <w:jc w:val="both"/>
        <w:rPr>
          <w:b/>
          <w:color w:val="385623" w:themeColor="accent6" w:themeShade="80"/>
          <w:sz w:val="22"/>
        </w:rPr>
      </w:pPr>
      <w:r w:rsidRPr="00241D69">
        <w:rPr>
          <w:b/>
          <w:color w:val="385623" w:themeColor="accent6" w:themeShade="80"/>
          <w:sz w:val="22"/>
        </w:rPr>
        <w:t>Contrato gerencia técnica - Contrato de prestación de servicios GLI-0120-2016</w:t>
      </w:r>
    </w:p>
    <w:p w14:paraId="035ED0F7" w14:textId="7423E87F" w:rsidR="008F5741" w:rsidRPr="00973396" w:rsidRDefault="008F5741" w:rsidP="008F5741">
      <w:pPr>
        <w:ind w:left="426"/>
        <w:jc w:val="both"/>
        <w:rPr>
          <w:sz w:val="22"/>
        </w:rPr>
      </w:pPr>
      <w:r w:rsidRPr="00973396">
        <w:rPr>
          <w:sz w:val="22"/>
        </w:rPr>
        <w:t xml:space="preserve">El contrato de la </w:t>
      </w:r>
      <w:r w:rsidR="008B6C94">
        <w:rPr>
          <w:sz w:val="22"/>
        </w:rPr>
        <w:t>g</w:t>
      </w:r>
      <w:r w:rsidRPr="00973396">
        <w:rPr>
          <w:sz w:val="22"/>
        </w:rPr>
        <w:t>erencia técnica finalizó el 18 de julio</w:t>
      </w:r>
      <w:r w:rsidR="008B6C94">
        <w:rPr>
          <w:sz w:val="22"/>
        </w:rPr>
        <w:t xml:space="preserve"> y</w:t>
      </w:r>
      <w:r w:rsidRPr="00973396">
        <w:rPr>
          <w:sz w:val="22"/>
        </w:rPr>
        <w:t xml:space="preserve"> no fue prorrogado</w:t>
      </w:r>
      <w:r w:rsidR="008B6C94">
        <w:rPr>
          <w:sz w:val="22"/>
        </w:rPr>
        <w:t>; sin embargo,</w:t>
      </w:r>
      <w:r w:rsidRPr="00973396">
        <w:rPr>
          <w:sz w:val="22"/>
        </w:rPr>
        <w:t xml:space="preserve"> el contrato de mandato con la CIS se encuentra vigente hasta el 26 diciembre</w:t>
      </w:r>
      <w:r w:rsidR="002854F8">
        <w:rPr>
          <w:sz w:val="22"/>
        </w:rPr>
        <w:t>.</w:t>
      </w:r>
    </w:p>
    <w:p w14:paraId="25D78565" w14:textId="77777777" w:rsidR="00852773" w:rsidRDefault="00852773" w:rsidP="008F5741">
      <w:pPr>
        <w:ind w:left="426"/>
        <w:jc w:val="both"/>
        <w:rPr>
          <w:sz w:val="22"/>
        </w:rPr>
      </w:pPr>
    </w:p>
    <w:p w14:paraId="63F806DD" w14:textId="77777777" w:rsidR="008F5741" w:rsidRPr="00241D69" w:rsidRDefault="008F5741" w:rsidP="008F5741">
      <w:pPr>
        <w:pStyle w:val="Prrafodelista"/>
        <w:numPr>
          <w:ilvl w:val="0"/>
          <w:numId w:val="50"/>
        </w:numPr>
        <w:ind w:left="426" w:hanging="426"/>
        <w:jc w:val="both"/>
        <w:rPr>
          <w:b/>
          <w:color w:val="385623" w:themeColor="accent6" w:themeShade="80"/>
          <w:sz w:val="22"/>
        </w:rPr>
      </w:pPr>
      <w:r>
        <w:rPr>
          <w:b/>
          <w:color w:val="385623" w:themeColor="accent6" w:themeShade="80"/>
          <w:sz w:val="22"/>
        </w:rPr>
        <w:t>Interventoría -</w:t>
      </w:r>
      <w:r w:rsidRPr="00241D69">
        <w:rPr>
          <w:b/>
          <w:color w:val="385623" w:themeColor="accent6" w:themeShade="80"/>
          <w:sz w:val="22"/>
        </w:rPr>
        <w:t xml:space="preserve"> </w:t>
      </w:r>
      <w:r w:rsidRPr="0025773D">
        <w:rPr>
          <w:b/>
          <w:color w:val="385623" w:themeColor="accent6" w:themeShade="80"/>
          <w:sz w:val="22"/>
        </w:rPr>
        <w:t>profesional Temporal 8</w:t>
      </w:r>
    </w:p>
    <w:p w14:paraId="3D2C454B" w14:textId="05D5DD56" w:rsidR="008F5741" w:rsidRDefault="005063C8" w:rsidP="008F5741">
      <w:pPr>
        <w:ind w:left="426"/>
        <w:jc w:val="both"/>
        <w:rPr>
          <w:bCs/>
          <w:sz w:val="22"/>
          <w:szCs w:val="22"/>
        </w:rPr>
      </w:pPr>
      <w:r>
        <w:rPr>
          <w:bCs/>
          <w:sz w:val="22"/>
          <w:szCs w:val="22"/>
        </w:rPr>
        <w:t>Estuvo vinculada a la Universidad hasta el 30 de junio de 2018,</w:t>
      </w:r>
      <w:r w:rsidR="008F5741">
        <w:rPr>
          <w:bCs/>
          <w:sz w:val="22"/>
          <w:szCs w:val="22"/>
        </w:rPr>
        <w:t xml:space="preserve"> los contratos </w:t>
      </w:r>
      <w:r w:rsidR="008B6C94">
        <w:rPr>
          <w:bCs/>
          <w:sz w:val="22"/>
          <w:szCs w:val="22"/>
        </w:rPr>
        <w:t xml:space="preserve">objeto de </w:t>
      </w:r>
      <w:r>
        <w:rPr>
          <w:bCs/>
          <w:sz w:val="22"/>
          <w:szCs w:val="22"/>
        </w:rPr>
        <w:t xml:space="preserve">su </w:t>
      </w:r>
      <w:r w:rsidR="008F5741">
        <w:rPr>
          <w:bCs/>
          <w:sz w:val="22"/>
          <w:szCs w:val="22"/>
        </w:rPr>
        <w:t>interventoría</w:t>
      </w:r>
      <w:r w:rsidR="002854F8">
        <w:rPr>
          <w:bCs/>
          <w:sz w:val="22"/>
          <w:szCs w:val="22"/>
        </w:rPr>
        <w:t xml:space="preserve"> corresponden a</w:t>
      </w:r>
      <w:r w:rsidR="008F5741">
        <w:rPr>
          <w:bCs/>
          <w:sz w:val="22"/>
          <w:szCs w:val="22"/>
        </w:rPr>
        <w:t>:</w:t>
      </w:r>
    </w:p>
    <w:p w14:paraId="666B357F" w14:textId="77777777" w:rsidR="008F5741" w:rsidRDefault="008F5741" w:rsidP="008F5741">
      <w:pPr>
        <w:ind w:left="426"/>
        <w:jc w:val="both"/>
        <w:rPr>
          <w:bCs/>
          <w:sz w:val="22"/>
          <w:szCs w:val="22"/>
        </w:rPr>
      </w:pPr>
    </w:p>
    <w:p w14:paraId="39F02E84" w14:textId="77777777" w:rsidR="008F5741" w:rsidRPr="001F44F4" w:rsidRDefault="008F5741" w:rsidP="008F5741">
      <w:pPr>
        <w:pStyle w:val="Prrafodelista"/>
        <w:numPr>
          <w:ilvl w:val="0"/>
          <w:numId w:val="51"/>
        </w:numPr>
        <w:ind w:left="993" w:hanging="284"/>
        <w:jc w:val="both"/>
        <w:rPr>
          <w:bCs/>
          <w:i/>
          <w:sz w:val="18"/>
          <w:szCs w:val="22"/>
        </w:rPr>
      </w:pPr>
      <w:r w:rsidRPr="001F44F4">
        <w:rPr>
          <w:bCs/>
          <w:i/>
          <w:sz w:val="18"/>
          <w:szCs w:val="22"/>
        </w:rPr>
        <w:t>Contrato de prestación de Servicios Nro.  GLI-120-2016 con Gloria Elena Molina Vélez para la Gerencia Técnica del Proyecto</w:t>
      </w:r>
    </w:p>
    <w:p w14:paraId="4E354E93" w14:textId="77777777" w:rsidR="008F5741" w:rsidRPr="001F44F4" w:rsidRDefault="008F5741" w:rsidP="008F5741">
      <w:pPr>
        <w:pStyle w:val="Prrafodelista"/>
        <w:numPr>
          <w:ilvl w:val="0"/>
          <w:numId w:val="51"/>
        </w:numPr>
        <w:ind w:left="993" w:hanging="284"/>
        <w:jc w:val="both"/>
        <w:rPr>
          <w:bCs/>
          <w:i/>
          <w:sz w:val="18"/>
          <w:szCs w:val="22"/>
        </w:rPr>
      </w:pPr>
      <w:r w:rsidRPr="001F44F4">
        <w:rPr>
          <w:bCs/>
          <w:i/>
          <w:sz w:val="18"/>
          <w:szCs w:val="22"/>
        </w:rPr>
        <w:t xml:space="preserve">Contrato de Consultoría Nro. 10410037-002-2017 con Ángela María Arango Rave para la dirección general del proyecto </w:t>
      </w:r>
    </w:p>
    <w:p w14:paraId="6E144853" w14:textId="77777777" w:rsidR="008F5741" w:rsidRPr="001F44F4" w:rsidRDefault="008F5741" w:rsidP="008F5741">
      <w:pPr>
        <w:pStyle w:val="Prrafodelista"/>
        <w:numPr>
          <w:ilvl w:val="0"/>
          <w:numId w:val="51"/>
        </w:numPr>
        <w:ind w:left="993" w:hanging="284"/>
        <w:jc w:val="both"/>
        <w:rPr>
          <w:bCs/>
          <w:i/>
          <w:sz w:val="18"/>
          <w:szCs w:val="22"/>
        </w:rPr>
      </w:pPr>
      <w:r w:rsidRPr="001F44F4">
        <w:rPr>
          <w:bCs/>
          <w:i/>
          <w:sz w:val="18"/>
          <w:szCs w:val="22"/>
        </w:rPr>
        <w:t>Contrato de mandato Nro. 10410037-003-2017 con la Corporación Interuniversitaria de Servicios CIS para la contratación de los diseños técnicos y arquitectónicos</w:t>
      </w:r>
    </w:p>
    <w:p w14:paraId="1B2779B6" w14:textId="77777777" w:rsidR="008F5741" w:rsidRDefault="008F5741" w:rsidP="008F5741">
      <w:pPr>
        <w:ind w:left="426"/>
        <w:jc w:val="both"/>
        <w:rPr>
          <w:bCs/>
          <w:sz w:val="22"/>
          <w:szCs w:val="22"/>
        </w:rPr>
      </w:pPr>
    </w:p>
    <w:p w14:paraId="3B9BFE3A" w14:textId="1B336645" w:rsidR="008F5741" w:rsidRPr="0032149E" w:rsidRDefault="008F5741" w:rsidP="00E950E6">
      <w:pPr>
        <w:ind w:left="426"/>
        <w:jc w:val="both"/>
        <w:rPr>
          <w:bCs/>
          <w:sz w:val="22"/>
          <w:szCs w:val="22"/>
        </w:rPr>
      </w:pPr>
      <w:r>
        <w:rPr>
          <w:bCs/>
          <w:sz w:val="22"/>
          <w:szCs w:val="22"/>
        </w:rPr>
        <w:t>En e</w:t>
      </w:r>
      <w:r w:rsidRPr="00CF7D1A">
        <w:rPr>
          <w:bCs/>
          <w:sz w:val="22"/>
          <w:szCs w:val="22"/>
        </w:rPr>
        <w:t>l documento “</w:t>
      </w:r>
      <w:r w:rsidR="00930EA0">
        <w:rPr>
          <w:bCs/>
          <w:sz w:val="22"/>
          <w:szCs w:val="22"/>
        </w:rPr>
        <w:t>A</w:t>
      </w:r>
      <w:r w:rsidR="00930EA0" w:rsidRPr="00DA3633">
        <w:rPr>
          <w:bCs/>
          <w:sz w:val="22"/>
          <w:szCs w:val="22"/>
        </w:rPr>
        <w:t>cta de entrega Ana María Gutiérrez Giraldo interventoría proyecto CDE</w:t>
      </w:r>
      <w:r w:rsidR="00930EA0" w:rsidRPr="00CF7D1A">
        <w:rPr>
          <w:bCs/>
          <w:sz w:val="22"/>
          <w:szCs w:val="22"/>
        </w:rPr>
        <w:t>S</w:t>
      </w:r>
      <w:r w:rsidRPr="00CF7D1A">
        <w:rPr>
          <w:bCs/>
          <w:sz w:val="22"/>
          <w:szCs w:val="22"/>
        </w:rPr>
        <w:t xml:space="preserve">”, </w:t>
      </w:r>
      <w:r>
        <w:rPr>
          <w:bCs/>
          <w:sz w:val="22"/>
          <w:szCs w:val="22"/>
        </w:rPr>
        <w:t>s</w:t>
      </w:r>
      <w:r w:rsidR="00E950E6">
        <w:rPr>
          <w:bCs/>
          <w:sz w:val="22"/>
          <w:szCs w:val="22"/>
        </w:rPr>
        <w:t>e evidencia que l</w:t>
      </w:r>
      <w:r w:rsidRPr="0032149E">
        <w:rPr>
          <w:bCs/>
          <w:sz w:val="22"/>
          <w:szCs w:val="22"/>
        </w:rPr>
        <w:t xml:space="preserve">a Gerencia </w:t>
      </w:r>
      <w:r>
        <w:rPr>
          <w:bCs/>
          <w:sz w:val="22"/>
          <w:szCs w:val="22"/>
        </w:rPr>
        <w:t>T</w:t>
      </w:r>
      <w:r w:rsidRPr="00241D69">
        <w:rPr>
          <w:bCs/>
          <w:sz w:val="22"/>
          <w:szCs w:val="22"/>
        </w:rPr>
        <w:t>écnica consign</w:t>
      </w:r>
      <w:r>
        <w:rPr>
          <w:bCs/>
          <w:sz w:val="22"/>
          <w:szCs w:val="22"/>
        </w:rPr>
        <w:t>ó</w:t>
      </w:r>
      <w:r w:rsidRPr="0032149E">
        <w:rPr>
          <w:bCs/>
          <w:sz w:val="22"/>
          <w:szCs w:val="22"/>
        </w:rPr>
        <w:t xml:space="preserve"> en el documento “</w:t>
      </w:r>
      <w:r w:rsidRPr="0032149E">
        <w:rPr>
          <w:bCs/>
          <w:i/>
          <w:sz w:val="22"/>
          <w:szCs w:val="22"/>
        </w:rPr>
        <w:t>Componente espacial proyecto Complejo de la Salud julio de 2018</w:t>
      </w:r>
      <w:r w:rsidRPr="0032149E">
        <w:rPr>
          <w:bCs/>
          <w:sz w:val="22"/>
          <w:szCs w:val="22"/>
        </w:rPr>
        <w:t>”</w:t>
      </w:r>
      <w:r w:rsidR="00E950E6">
        <w:rPr>
          <w:bCs/>
          <w:sz w:val="22"/>
          <w:szCs w:val="22"/>
        </w:rPr>
        <w:t xml:space="preserve"> pág. </w:t>
      </w:r>
      <w:r w:rsidR="00930EA0" w:rsidRPr="00930EA0">
        <w:rPr>
          <w:bCs/>
          <w:sz w:val="22"/>
          <w:szCs w:val="22"/>
        </w:rPr>
        <w:t>89</w:t>
      </w:r>
      <w:r w:rsidRPr="0032149E">
        <w:rPr>
          <w:bCs/>
          <w:sz w:val="22"/>
          <w:szCs w:val="22"/>
        </w:rPr>
        <w:t>:</w:t>
      </w:r>
    </w:p>
    <w:p w14:paraId="6A74D87A" w14:textId="77777777" w:rsidR="008F5741" w:rsidRDefault="008F5741" w:rsidP="00FF02EC">
      <w:pPr>
        <w:ind w:left="709" w:right="333"/>
        <w:jc w:val="both"/>
        <w:rPr>
          <w:bCs/>
          <w:sz w:val="22"/>
          <w:szCs w:val="22"/>
        </w:rPr>
      </w:pPr>
    </w:p>
    <w:p w14:paraId="1FA19F42" w14:textId="77777777" w:rsidR="008F5741" w:rsidRPr="001F44F4" w:rsidRDefault="008F5741" w:rsidP="00FF02EC">
      <w:pPr>
        <w:ind w:left="709" w:right="333"/>
        <w:jc w:val="both"/>
        <w:rPr>
          <w:bCs/>
          <w:sz w:val="18"/>
          <w:szCs w:val="22"/>
        </w:rPr>
      </w:pPr>
      <w:r w:rsidRPr="001F44F4">
        <w:rPr>
          <w:bCs/>
          <w:sz w:val="18"/>
          <w:szCs w:val="22"/>
        </w:rPr>
        <w:t xml:space="preserve">“(…) </w:t>
      </w:r>
      <w:r w:rsidRPr="001F44F4">
        <w:rPr>
          <w:bCs/>
          <w:i/>
          <w:sz w:val="18"/>
          <w:szCs w:val="22"/>
        </w:rPr>
        <w:t>Se debe revisar cómo afecta esto la gestión del proyecto en virtud de que la arquitecta hace el puente entre los diferentes contratistas actores del proyecto y la Universidad de Antioquia. Igualmente se debe establecer quien, al interior de la Universidad, seguirá realizando esta gestión y la de la Interventoría de los contratos de la Dirección General, la CIS y la Gerencia Técnica”</w:t>
      </w:r>
      <w:r w:rsidRPr="001F44F4">
        <w:rPr>
          <w:bCs/>
          <w:sz w:val="18"/>
          <w:szCs w:val="22"/>
        </w:rPr>
        <w:t xml:space="preserve">.  </w:t>
      </w:r>
    </w:p>
    <w:p w14:paraId="16675FC6" w14:textId="77777777" w:rsidR="008F5741" w:rsidRDefault="008F5741" w:rsidP="00B26065">
      <w:pPr>
        <w:ind w:left="426"/>
        <w:rPr>
          <w:b/>
          <w:color w:val="385623" w:themeColor="accent6" w:themeShade="80"/>
          <w:sz w:val="22"/>
        </w:rPr>
      </w:pPr>
    </w:p>
    <w:p w14:paraId="06B41D8C" w14:textId="383DC27D" w:rsidR="002854F8" w:rsidRDefault="008F5741" w:rsidP="00B26065">
      <w:pPr>
        <w:ind w:left="426"/>
        <w:jc w:val="both"/>
        <w:rPr>
          <w:bCs/>
          <w:sz w:val="22"/>
          <w:szCs w:val="22"/>
        </w:rPr>
      </w:pPr>
      <w:r>
        <w:rPr>
          <w:bCs/>
          <w:sz w:val="22"/>
          <w:szCs w:val="22"/>
        </w:rPr>
        <w:t xml:space="preserve">De acuerdo con lo anterior, la gerencia técnica no tenía claridad sobre la designación de </w:t>
      </w:r>
      <w:r w:rsidR="008B6C94">
        <w:rPr>
          <w:bCs/>
          <w:sz w:val="22"/>
          <w:szCs w:val="22"/>
        </w:rPr>
        <w:t xml:space="preserve">un nuevo </w:t>
      </w:r>
      <w:r>
        <w:rPr>
          <w:bCs/>
          <w:sz w:val="22"/>
          <w:szCs w:val="22"/>
        </w:rPr>
        <w:t>in</w:t>
      </w:r>
      <w:r w:rsidRPr="00E950E6">
        <w:rPr>
          <w:bCs/>
          <w:sz w:val="22"/>
          <w:szCs w:val="22"/>
        </w:rPr>
        <w:t>terventor</w:t>
      </w:r>
      <w:r w:rsidR="002854F8">
        <w:rPr>
          <w:bCs/>
          <w:sz w:val="22"/>
          <w:szCs w:val="22"/>
        </w:rPr>
        <w:t>, lo cual fue</w:t>
      </w:r>
      <w:r w:rsidRPr="00E950E6">
        <w:rPr>
          <w:bCs/>
          <w:sz w:val="22"/>
          <w:szCs w:val="22"/>
        </w:rPr>
        <w:t xml:space="preserve"> validado con el Jefe de Infraestructura física</w:t>
      </w:r>
      <w:r w:rsidR="002854F8">
        <w:rPr>
          <w:bCs/>
          <w:sz w:val="22"/>
          <w:szCs w:val="22"/>
        </w:rPr>
        <w:t>.</w:t>
      </w:r>
    </w:p>
    <w:p w14:paraId="6B4F7EAC" w14:textId="4014E7C9" w:rsidR="002854F8" w:rsidRDefault="002854F8" w:rsidP="00B26065">
      <w:pPr>
        <w:ind w:left="426"/>
        <w:jc w:val="both"/>
        <w:rPr>
          <w:bCs/>
          <w:sz w:val="22"/>
          <w:szCs w:val="22"/>
        </w:rPr>
      </w:pPr>
    </w:p>
    <w:p w14:paraId="58161ACC" w14:textId="77777777" w:rsidR="00852773" w:rsidRPr="00371ACF" w:rsidRDefault="00852773" w:rsidP="00B26065">
      <w:pPr>
        <w:ind w:left="426"/>
        <w:rPr>
          <w:b/>
          <w:color w:val="385623" w:themeColor="accent6" w:themeShade="80"/>
          <w:sz w:val="22"/>
        </w:rPr>
      </w:pPr>
      <w:r>
        <w:rPr>
          <w:b/>
          <w:color w:val="385623" w:themeColor="accent6" w:themeShade="80"/>
          <w:sz w:val="22"/>
        </w:rPr>
        <w:t xml:space="preserve">Observaciones </w:t>
      </w:r>
    </w:p>
    <w:p w14:paraId="69D750CA" w14:textId="24BB180B" w:rsidR="00852773" w:rsidRDefault="00852773" w:rsidP="00B26065">
      <w:pPr>
        <w:ind w:left="426"/>
        <w:jc w:val="both"/>
        <w:rPr>
          <w:bCs/>
          <w:sz w:val="22"/>
          <w:szCs w:val="22"/>
        </w:rPr>
      </w:pPr>
      <w:r>
        <w:rPr>
          <w:bCs/>
          <w:sz w:val="22"/>
          <w:szCs w:val="22"/>
        </w:rPr>
        <w:t>E</w:t>
      </w:r>
      <w:r w:rsidRPr="00E950E6">
        <w:rPr>
          <w:bCs/>
          <w:sz w:val="22"/>
          <w:szCs w:val="22"/>
        </w:rPr>
        <w:t>n reunión del 17 de julio</w:t>
      </w:r>
      <w:r>
        <w:rPr>
          <w:bCs/>
          <w:sz w:val="22"/>
          <w:szCs w:val="22"/>
        </w:rPr>
        <w:t xml:space="preserve"> realizada con el jefe de Infraestructura física, se confirmó que para esa fecha </w:t>
      </w:r>
      <w:r w:rsidRPr="00E950E6">
        <w:rPr>
          <w:bCs/>
          <w:sz w:val="22"/>
          <w:szCs w:val="22"/>
        </w:rPr>
        <w:t xml:space="preserve">los actos administrativos de cesión de la interventoría no estaban firmados. </w:t>
      </w:r>
      <w:r>
        <w:rPr>
          <w:bCs/>
          <w:sz w:val="22"/>
          <w:szCs w:val="22"/>
        </w:rPr>
        <w:t>A la fecha no se ha designado quien asumirá la gerencia técnica del proyecto.</w:t>
      </w:r>
      <w:r w:rsidR="00CF04E4">
        <w:rPr>
          <w:bCs/>
          <w:sz w:val="22"/>
          <w:szCs w:val="22"/>
        </w:rPr>
        <w:t xml:space="preserve"> </w:t>
      </w:r>
      <w:r w:rsidR="008B6C94">
        <w:rPr>
          <w:bCs/>
          <w:sz w:val="22"/>
          <w:szCs w:val="22"/>
        </w:rPr>
        <w:t>En consideración con lo anterior, s</w:t>
      </w:r>
      <w:r w:rsidRPr="002D6914">
        <w:rPr>
          <w:bCs/>
          <w:sz w:val="22"/>
          <w:szCs w:val="22"/>
        </w:rPr>
        <w:t xml:space="preserve">e evidencia </w:t>
      </w:r>
      <w:r>
        <w:rPr>
          <w:bCs/>
          <w:sz w:val="22"/>
          <w:szCs w:val="22"/>
        </w:rPr>
        <w:t xml:space="preserve">en el contrato con la CIS, </w:t>
      </w:r>
      <w:r w:rsidRPr="002D6914">
        <w:rPr>
          <w:bCs/>
          <w:sz w:val="22"/>
          <w:szCs w:val="22"/>
        </w:rPr>
        <w:t>un</w:t>
      </w:r>
      <w:r>
        <w:rPr>
          <w:bCs/>
          <w:sz w:val="22"/>
          <w:szCs w:val="22"/>
        </w:rPr>
        <w:t xml:space="preserve"> periodo de ejecución sin interventor asignado</w:t>
      </w:r>
      <w:r w:rsidR="008B6C94">
        <w:rPr>
          <w:bCs/>
          <w:sz w:val="22"/>
          <w:szCs w:val="22"/>
        </w:rPr>
        <w:t>.</w:t>
      </w:r>
    </w:p>
    <w:p w14:paraId="04433645" w14:textId="77777777" w:rsidR="00852773" w:rsidRDefault="00852773" w:rsidP="00B26065">
      <w:pPr>
        <w:ind w:left="426"/>
        <w:jc w:val="both"/>
        <w:rPr>
          <w:bCs/>
          <w:sz w:val="22"/>
          <w:szCs w:val="22"/>
        </w:rPr>
      </w:pPr>
    </w:p>
    <w:p w14:paraId="2185A339" w14:textId="77777777" w:rsidR="00852773" w:rsidRDefault="00852773" w:rsidP="00B26065">
      <w:pPr>
        <w:ind w:left="426"/>
        <w:jc w:val="both"/>
        <w:rPr>
          <w:bCs/>
          <w:sz w:val="22"/>
          <w:szCs w:val="22"/>
        </w:rPr>
      </w:pPr>
      <w:r>
        <w:rPr>
          <w:b/>
          <w:color w:val="385623" w:themeColor="accent6" w:themeShade="80"/>
          <w:sz w:val="22"/>
        </w:rPr>
        <w:t>Riesgo</w:t>
      </w:r>
    </w:p>
    <w:p w14:paraId="1ED3975A" w14:textId="77777777" w:rsidR="00852773" w:rsidRPr="002D6914" w:rsidRDefault="00852773" w:rsidP="00B26065">
      <w:pPr>
        <w:ind w:left="426"/>
        <w:jc w:val="both"/>
        <w:rPr>
          <w:bCs/>
          <w:sz w:val="22"/>
          <w:szCs w:val="22"/>
        </w:rPr>
      </w:pPr>
      <w:r>
        <w:rPr>
          <w:bCs/>
          <w:sz w:val="22"/>
          <w:szCs w:val="22"/>
        </w:rPr>
        <w:t>Periodos de ejecución de contratos sin interventor, constituyen un riesgo ante l</w:t>
      </w:r>
      <w:r w:rsidRPr="002D6914">
        <w:rPr>
          <w:bCs/>
          <w:sz w:val="22"/>
          <w:szCs w:val="22"/>
        </w:rPr>
        <w:t xml:space="preserve">a posible falta de seguimiento técnico a las actividades ejecutadas.  </w:t>
      </w:r>
    </w:p>
    <w:p w14:paraId="366222C6" w14:textId="77777777" w:rsidR="00852773" w:rsidRDefault="00852773" w:rsidP="00B26065">
      <w:pPr>
        <w:ind w:left="426"/>
        <w:jc w:val="both"/>
        <w:rPr>
          <w:b/>
          <w:color w:val="385623" w:themeColor="accent6" w:themeShade="80"/>
          <w:sz w:val="22"/>
        </w:rPr>
      </w:pPr>
    </w:p>
    <w:p w14:paraId="6DDCDFEB" w14:textId="77777777" w:rsidR="00852773" w:rsidRDefault="00852773" w:rsidP="00B26065">
      <w:pPr>
        <w:ind w:left="426"/>
        <w:jc w:val="both"/>
      </w:pPr>
      <w:r w:rsidRPr="001A5CC5">
        <w:rPr>
          <w:b/>
          <w:color w:val="385623" w:themeColor="accent6" w:themeShade="80"/>
          <w:sz w:val="22"/>
        </w:rPr>
        <w:t>Recomendación</w:t>
      </w:r>
      <w:r>
        <w:t xml:space="preserve"> </w:t>
      </w:r>
    </w:p>
    <w:p w14:paraId="4D8719FB" w14:textId="77777777" w:rsidR="00852773" w:rsidRPr="002D6914" w:rsidRDefault="00852773" w:rsidP="00FF02EC">
      <w:pPr>
        <w:pStyle w:val="Prrafodelista"/>
        <w:numPr>
          <w:ilvl w:val="0"/>
          <w:numId w:val="55"/>
        </w:numPr>
        <w:ind w:left="709" w:hanging="283"/>
        <w:jc w:val="both"/>
        <w:rPr>
          <w:bCs/>
          <w:sz w:val="22"/>
          <w:szCs w:val="22"/>
        </w:rPr>
      </w:pPr>
      <w:r w:rsidRPr="002D6914">
        <w:rPr>
          <w:bCs/>
          <w:sz w:val="22"/>
          <w:szCs w:val="22"/>
        </w:rPr>
        <w:t xml:space="preserve">Revisar las actividades ejecutadas en los contratos relacionados, durante la finalización e inicio de las nuevas interventorías. </w:t>
      </w:r>
    </w:p>
    <w:p w14:paraId="343D943A" w14:textId="77777777" w:rsidR="006C5D16" w:rsidRDefault="00852773" w:rsidP="006C5D16">
      <w:pPr>
        <w:pStyle w:val="Prrafodelista"/>
        <w:numPr>
          <w:ilvl w:val="0"/>
          <w:numId w:val="55"/>
        </w:numPr>
        <w:ind w:left="709" w:hanging="283"/>
        <w:jc w:val="both"/>
        <w:rPr>
          <w:bCs/>
          <w:sz w:val="22"/>
          <w:szCs w:val="22"/>
        </w:rPr>
      </w:pPr>
      <w:r w:rsidRPr="002D6914">
        <w:rPr>
          <w:bCs/>
          <w:sz w:val="22"/>
          <w:szCs w:val="22"/>
        </w:rPr>
        <w:t xml:space="preserve">Emitir un informe por parte del nuevo interventor, en el cual se especifique el estado del arte en el cual encontró los contratos. </w:t>
      </w:r>
    </w:p>
    <w:p w14:paraId="25AB10F6" w14:textId="77777777" w:rsidR="006C5D16" w:rsidRDefault="006C5D16" w:rsidP="006C5D16">
      <w:pPr>
        <w:ind w:left="426"/>
        <w:jc w:val="both"/>
        <w:rPr>
          <w:b/>
          <w:color w:val="385623" w:themeColor="accent6" w:themeShade="80"/>
          <w:sz w:val="22"/>
        </w:rPr>
      </w:pPr>
    </w:p>
    <w:p w14:paraId="2A7F8826" w14:textId="77777777" w:rsidR="006C5D16" w:rsidRDefault="006C5D16">
      <w:pPr>
        <w:spacing w:after="160" w:line="259" w:lineRule="auto"/>
        <w:rPr>
          <w:b/>
          <w:color w:val="385623" w:themeColor="accent6" w:themeShade="80"/>
          <w:sz w:val="22"/>
        </w:rPr>
      </w:pPr>
      <w:r>
        <w:rPr>
          <w:b/>
          <w:color w:val="385623" w:themeColor="accent6" w:themeShade="80"/>
          <w:sz w:val="22"/>
        </w:rPr>
        <w:br w:type="page"/>
      </w:r>
    </w:p>
    <w:p w14:paraId="21ED1F42" w14:textId="3B78F5EE" w:rsidR="006C5D16" w:rsidRPr="006C5D16" w:rsidRDefault="006C5D16" w:rsidP="006C5D16">
      <w:pPr>
        <w:ind w:left="426"/>
        <w:jc w:val="both"/>
        <w:rPr>
          <w:bCs/>
          <w:sz w:val="22"/>
          <w:szCs w:val="22"/>
        </w:rPr>
      </w:pPr>
      <w:r w:rsidRPr="006C5D16">
        <w:rPr>
          <w:b/>
          <w:color w:val="385623" w:themeColor="accent6" w:themeShade="80"/>
          <w:sz w:val="22"/>
        </w:rPr>
        <w:lastRenderedPageBreak/>
        <w:t xml:space="preserve">Comentarios Administración </w:t>
      </w:r>
    </w:p>
    <w:p w14:paraId="110F0AAC" w14:textId="4B9351B7" w:rsidR="00CF04E4" w:rsidRDefault="006C5D16" w:rsidP="006C5D16">
      <w:pPr>
        <w:ind w:left="426"/>
        <w:jc w:val="both"/>
        <w:rPr>
          <w:bCs/>
          <w:sz w:val="22"/>
          <w:szCs w:val="22"/>
        </w:rPr>
      </w:pPr>
      <w:r w:rsidRPr="006C5D16">
        <w:rPr>
          <w:bCs/>
          <w:sz w:val="22"/>
          <w:szCs w:val="22"/>
        </w:rPr>
        <w:t>Para el caso de la Gerencia técnica, el proyecto aún no tiene definida formalmente una estructura</w:t>
      </w:r>
    </w:p>
    <w:p w14:paraId="0464553E" w14:textId="77777777" w:rsidR="006C5D16" w:rsidRDefault="006C5D16" w:rsidP="006C5D16">
      <w:pPr>
        <w:ind w:left="426"/>
        <w:jc w:val="both"/>
        <w:rPr>
          <w:b/>
          <w:color w:val="385623" w:themeColor="accent6" w:themeShade="80"/>
          <w:sz w:val="22"/>
        </w:rPr>
      </w:pPr>
    </w:p>
    <w:p w14:paraId="097DC3D0" w14:textId="77777777" w:rsidR="008F5741" w:rsidRPr="00241D69" w:rsidRDefault="008F5741" w:rsidP="008F5741">
      <w:pPr>
        <w:pStyle w:val="Prrafodelista"/>
        <w:numPr>
          <w:ilvl w:val="0"/>
          <w:numId w:val="50"/>
        </w:numPr>
        <w:ind w:left="426" w:hanging="426"/>
        <w:jc w:val="both"/>
        <w:rPr>
          <w:b/>
          <w:color w:val="385623" w:themeColor="accent6" w:themeShade="80"/>
          <w:sz w:val="22"/>
        </w:rPr>
      </w:pPr>
      <w:r>
        <w:rPr>
          <w:b/>
          <w:color w:val="385623" w:themeColor="accent6" w:themeShade="80"/>
          <w:sz w:val="22"/>
        </w:rPr>
        <w:t>Contrato de mandato – CIS -</w:t>
      </w:r>
      <w:r w:rsidRPr="00A80AAB">
        <w:rPr>
          <w:b/>
          <w:color w:val="385623" w:themeColor="accent6" w:themeShade="80"/>
          <w:sz w:val="22"/>
        </w:rPr>
        <w:t xml:space="preserve"> contrato de mandato 10410037-003-2017</w:t>
      </w:r>
      <w:r w:rsidRPr="00241D69">
        <w:rPr>
          <w:b/>
          <w:color w:val="385623" w:themeColor="accent6" w:themeShade="80"/>
          <w:sz w:val="22"/>
        </w:rPr>
        <w:t>:</w:t>
      </w:r>
    </w:p>
    <w:p w14:paraId="38CDB5AA" w14:textId="77777777" w:rsidR="008F5741" w:rsidRDefault="008F5741" w:rsidP="00B26065">
      <w:pPr>
        <w:ind w:left="426"/>
        <w:jc w:val="both"/>
        <w:rPr>
          <w:sz w:val="22"/>
        </w:rPr>
      </w:pPr>
    </w:p>
    <w:p w14:paraId="46BF1D9B" w14:textId="1DCCEA01" w:rsidR="008F5741" w:rsidRDefault="008F5741" w:rsidP="00B26065">
      <w:pPr>
        <w:ind w:left="426"/>
        <w:jc w:val="both"/>
        <w:rPr>
          <w:sz w:val="22"/>
          <w:szCs w:val="22"/>
        </w:rPr>
      </w:pPr>
      <w:r>
        <w:rPr>
          <w:bCs/>
          <w:sz w:val="22"/>
          <w:szCs w:val="22"/>
        </w:rPr>
        <w:t xml:space="preserve">En el documento </w:t>
      </w:r>
      <w:r w:rsidR="00930EA0">
        <w:rPr>
          <w:bCs/>
          <w:sz w:val="22"/>
          <w:szCs w:val="22"/>
        </w:rPr>
        <w:t>I</w:t>
      </w:r>
      <w:r w:rsidR="00930EA0" w:rsidRPr="0067660C">
        <w:rPr>
          <w:bCs/>
          <w:sz w:val="22"/>
          <w:szCs w:val="22"/>
        </w:rPr>
        <w:t xml:space="preserve">nforme de gestión </w:t>
      </w:r>
      <w:r w:rsidRPr="0067660C">
        <w:rPr>
          <w:bCs/>
          <w:sz w:val="22"/>
          <w:szCs w:val="22"/>
        </w:rPr>
        <w:t xml:space="preserve">#17 </w:t>
      </w:r>
      <w:r w:rsidR="00FA3DF3">
        <w:rPr>
          <w:bCs/>
          <w:sz w:val="22"/>
          <w:szCs w:val="22"/>
        </w:rPr>
        <w:t>de</w:t>
      </w:r>
      <w:r w:rsidR="00DB3BC2">
        <w:rPr>
          <w:bCs/>
          <w:sz w:val="22"/>
          <w:szCs w:val="22"/>
        </w:rPr>
        <w:t xml:space="preserve"> j</w:t>
      </w:r>
      <w:r w:rsidR="00930EA0" w:rsidRPr="0067660C">
        <w:rPr>
          <w:bCs/>
          <w:sz w:val="22"/>
          <w:szCs w:val="22"/>
        </w:rPr>
        <w:t xml:space="preserve">ulio </w:t>
      </w:r>
      <w:r w:rsidRPr="0067660C">
        <w:rPr>
          <w:bCs/>
          <w:sz w:val="22"/>
          <w:szCs w:val="22"/>
        </w:rPr>
        <w:t>5</w:t>
      </w:r>
      <w:r w:rsidR="00DB3BC2">
        <w:rPr>
          <w:bCs/>
          <w:sz w:val="22"/>
          <w:szCs w:val="22"/>
        </w:rPr>
        <w:t>,</w:t>
      </w:r>
      <w:r w:rsidRPr="0067660C">
        <w:rPr>
          <w:bCs/>
          <w:sz w:val="22"/>
          <w:szCs w:val="22"/>
        </w:rPr>
        <w:t xml:space="preserve"> 2018</w:t>
      </w:r>
      <w:r w:rsidR="00FA3DF3">
        <w:rPr>
          <w:bCs/>
          <w:sz w:val="22"/>
          <w:szCs w:val="22"/>
        </w:rPr>
        <w:t>,</w:t>
      </w:r>
      <w:r w:rsidRPr="0067660C">
        <w:rPr>
          <w:bCs/>
          <w:sz w:val="22"/>
          <w:szCs w:val="22"/>
        </w:rPr>
        <w:t xml:space="preserve"> </w:t>
      </w:r>
      <w:r w:rsidR="00FA3DF3">
        <w:rPr>
          <w:bCs/>
          <w:sz w:val="22"/>
          <w:szCs w:val="22"/>
        </w:rPr>
        <w:t xml:space="preserve">en la </w:t>
      </w:r>
      <w:r w:rsidRPr="0067660C">
        <w:rPr>
          <w:sz w:val="22"/>
          <w:szCs w:val="22"/>
        </w:rPr>
        <w:t>página 20</w:t>
      </w:r>
      <w:r>
        <w:rPr>
          <w:sz w:val="22"/>
          <w:szCs w:val="22"/>
        </w:rPr>
        <w:t>, resalta aspectos importantes del seguimiento a la ejecución de varios contratos.  Algunos apartes son los siguientes:</w:t>
      </w:r>
    </w:p>
    <w:p w14:paraId="2CDFABAF" w14:textId="77777777" w:rsidR="008F5741" w:rsidRPr="0067660C" w:rsidRDefault="008F5741" w:rsidP="00B26065">
      <w:pPr>
        <w:ind w:left="426"/>
        <w:jc w:val="both"/>
        <w:rPr>
          <w:bCs/>
          <w:sz w:val="22"/>
          <w:szCs w:val="22"/>
        </w:rPr>
      </w:pPr>
    </w:p>
    <w:p w14:paraId="1BCA3364" w14:textId="77777777" w:rsidR="008F5741" w:rsidRPr="001F44F4" w:rsidRDefault="008F5741" w:rsidP="00FF02EC">
      <w:pPr>
        <w:ind w:left="567" w:right="333"/>
        <w:jc w:val="both"/>
        <w:rPr>
          <w:i/>
          <w:sz w:val="18"/>
        </w:rPr>
      </w:pPr>
      <w:r w:rsidRPr="001F44F4">
        <w:rPr>
          <w:i/>
          <w:sz w:val="18"/>
        </w:rPr>
        <w:t>“</w:t>
      </w:r>
      <w:r w:rsidRPr="001F44F4">
        <w:rPr>
          <w:b/>
          <w:i/>
          <w:sz w:val="18"/>
        </w:rPr>
        <w:t>El proyecto no lleva su curso normal</w:t>
      </w:r>
      <w:r w:rsidRPr="001F44F4">
        <w:rPr>
          <w:i/>
          <w:sz w:val="18"/>
        </w:rPr>
        <w:t xml:space="preserve"> por situaciones ajenas al mismo. La Corporación Interuniversitaria de Servicios-CIS, recibió dos comunicaciones de Vicerrectoría Administrativa, solicitándole en la primera, la suspensión de las contrataciones en curso, a saber: Interventoría Preoperativa y Estudios Técnicos, y la segunda la suspensión del Contrato de mandato sin fecha definida.  La suspensión del Contrato de Mandato no se hizo efectiva, porque no se firmó el Acta de Suspensión, pero en cambio el 25 de mayo, se prorrogó el Contrato con la CIS hasta 26 de diciembre de 2018, de lo que se desprende legalmente que el contrato no se suspendió, ya que jurídicamente no fue perfeccionado y como fue prorrogado sigue su curso normal. Para la prórroga del Contrato con la CIS, la Universidad estipuló que esta no podía pasar del 31 de diciembre de 2018, pero no se argumentó el motivo.”</w:t>
      </w:r>
    </w:p>
    <w:p w14:paraId="37223C80" w14:textId="77777777" w:rsidR="008F5741" w:rsidRPr="001F44F4" w:rsidRDefault="008F5741" w:rsidP="00B26065">
      <w:pPr>
        <w:ind w:left="567"/>
        <w:jc w:val="both"/>
        <w:rPr>
          <w:i/>
          <w:sz w:val="18"/>
        </w:rPr>
      </w:pPr>
    </w:p>
    <w:p w14:paraId="731B0D08" w14:textId="007B36BC" w:rsidR="008F5741" w:rsidRPr="001F44F4" w:rsidRDefault="008F5741" w:rsidP="00FF02EC">
      <w:pPr>
        <w:ind w:left="567" w:right="333"/>
        <w:jc w:val="both"/>
        <w:rPr>
          <w:i/>
          <w:sz w:val="18"/>
        </w:rPr>
      </w:pPr>
      <w:r w:rsidRPr="001F44F4">
        <w:rPr>
          <w:i/>
          <w:sz w:val="18"/>
        </w:rPr>
        <w:t>(…) “Lo que, si es real, es que cuando recibieron la solicitud de suspensión, los arquitectos de la Unión Temporal hicieron una pausa en lo relacionado con las actividades normales del proyecto en lo técnico, para realizar un balance del estado de éste y definir en qué términos se realizaría la suspensión, teniendo en cuenta que a la fecha no habían recibido el anticipo de acuerdo con lo estipulado en el contrato”</w:t>
      </w:r>
    </w:p>
    <w:p w14:paraId="6ADA5CC6" w14:textId="638BDAB3" w:rsidR="00B26065" w:rsidRDefault="00B26065" w:rsidP="00FF02EC">
      <w:pPr>
        <w:spacing w:line="259" w:lineRule="auto"/>
        <w:rPr>
          <w:b/>
          <w:color w:val="385623" w:themeColor="accent6" w:themeShade="80"/>
          <w:sz w:val="22"/>
        </w:rPr>
      </w:pPr>
    </w:p>
    <w:p w14:paraId="5B22DE50" w14:textId="1146F965" w:rsidR="00DB3BC2" w:rsidRPr="00371ACF" w:rsidRDefault="00DB3BC2" w:rsidP="00B26065">
      <w:pPr>
        <w:ind w:left="426"/>
        <w:rPr>
          <w:b/>
          <w:color w:val="385623" w:themeColor="accent6" w:themeShade="80"/>
          <w:sz w:val="22"/>
        </w:rPr>
      </w:pPr>
      <w:r>
        <w:rPr>
          <w:b/>
          <w:color w:val="385623" w:themeColor="accent6" w:themeShade="80"/>
          <w:sz w:val="22"/>
        </w:rPr>
        <w:t xml:space="preserve">Observación </w:t>
      </w:r>
    </w:p>
    <w:p w14:paraId="6FCFDEEB" w14:textId="2FD1F287" w:rsidR="008F5741" w:rsidRDefault="00CF04E4" w:rsidP="00B26065">
      <w:pPr>
        <w:ind w:left="426"/>
        <w:jc w:val="both"/>
        <w:rPr>
          <w:color w:val="FF0000"/>
          <w:sz w:val="22"/>
          <w:szCs w:val="22"/>
        </w:rPr>
      </w:pPr>
      <w:r>
        <w:rPr>
          <w:bCs/>
          <w:sz w:val="22"/>
          <w:szCs w:val="22"/>
        </w:rPr>
        <w:t>De acuerdo con</w:t>
      </w:r>
      <w:r w:rsidR="008F5741">
        <w:rPr>
          <w:bCs/>
          <w:sz w:val="22"/>
          <w:szCs w:val="22"/>
        </w:rPr>
        <w:t xml:space="preserve"> lo anterior, se observa que la </w:t>
      </w:r>
      <w:r w:rsidR="00FA3DF3">
        <w:rPr>
          <w:bCs/>
          <w:sz w:val="22"/>
          <w:szCs w:val="22"/>
        </w:rPr>
        <w:t>g</w:t>
      </w:r>
      <w:r w:rsidR="008F5741">
        <w:rPr>
          <w:bCs/>
          <w:sz w:val="22"/>
          <w:szCs w:val="22"/>
        </w:rPr>
        <w:t>erencia técnica ha identificado situaciones que requieren ser revisadas</w:t>
      </w:r>
      <w:r w:rsidR="00B26065">
        <w:rPr>
          <w:bCs/>
          <w:sz w:val="22"/>
          <w:szCs w:val="22"/>
        </w:rPr>
        <w:t>, dado que</w:t>
      </w:r>
      <w:r w:rsidR="008F5741">
        <w:rPr>
          <w:bCs/>
          <w:sz w:val="22"/>
          <w:szCs w:val="22"/>
        </w:rPr>
        <w:t xml:space="preserve"> evidencian posibles dificultades en l</w:t>
      </w:r>
      <w:r w:rsidR="008F5741">
        <w:rPr>
          <w:sz w:val="22"/>
          <w:szCs w:val="22"/>
        </w:rPr>
        <w:t xml:space="preserve">a ejecución del proyecto. </w:t>
      </w:r>
      <w:r w:rsidR="00FA3DF3">
        <w:rPr>
          <w:sz w:val="22"/>
          <w:szCs w:val="22"/>
        </w:rPr>
        <w:t>Además, s</w:t>
      </w:r>
      <w:r w:rsidR="00B26065">
        <w:rPr>
          <w:sz w:val="22"/>
          <w:szCs w:val="22"/>
        </w:rPr>
        <w:t xml:space="preserve">e presenta un </w:t>
      </w:r>
      <w:r w:rsidR="008F5741">
        <w:rPr>
          <w:sz w:val="22"/>
          <w:szCs w:val="22"/>
        </w:rPr>
        <w:t xml:space="preserve">cese de actividades </w:t>
      </w:r>
      <w:r w:rsidR="00B26065">
        <w:rPr>
          <w:sz w:val="22"/>
          <w:szCs w:val="22"/>
        </w:rPr>
        <w:t xml:space="preserve">del contrato, </w:t>
      </w:r>
      <w:r w:rsidR="008F5741">
        <w:rPr>
          <w:sz w:val="22"/>
          <w:szCs w:val="22"/>
        </w:rPr>
        <w:t xml:space="preserve">sin </w:t>
      </w:r>
      <w:r w:rsidR="00B26065">
        <w:rPr>
          <w:sz w:val="22"/>
          <w:szCs w:val="22"/>
        </w:rPr>
        <w:t xml:space="preserve">disponer de acta de suspensión como </w:t>
      </w:r>
      <w:r w:rsidR="008F5741">
        <w:rPr>
          <w:sz w:val="22"/>
          <w:szCs w:val="22"/>
        </w:rPr>
        <w:t xml:space="preserve">documento soporte. </w:t>
      </w:r>
    </w:p>
    <w:p w14:paraId="2ADD5E92" w14:textId="243EDFD0" w:rsidR="00DB3BC2" w:rsidRDefault="00DB3BC2" w:rsidP="00B26065">
      <w:pPr>
        <w:ind w:left="426"/>
        <w:jc w:val="both"/>
        <w:rPr>
          <w:color w:val="FF0000"/>
          <w:sz w:val="22"/>
          <w:szCs w:val="22"/>
        </w:rPr>
      </w:pPr>
    </w:p>
    <w:p w14:paraId="1768AC77" w14:textId="1FD5560F" w:rsidR="00DB3BC2" w:rsidRPr="00371ACF" w:rsidRDefault="00DB3BC2" w:rsidP="00B26065">
      <w:pPr>
        <w:ind w:left="426"/>
        <w:rPr>
          <w:b/>
          <w:color w:val="385623" w:themeColor="accent6" w:themeShade="80"/>
          <w:sz w:val="22"/>
        </w:rPr>
      </w:pPr>
      <w:r>
        <w:rPr>
          <w:b/>
          <w:color w:val="385623" w:themeColor="accent6" w:themeShade="80"/>
          <w:sz w:val="22"/>
        </w:rPr>
        <w:t>Riesgo</w:t>
      </w:r>
    </w:p>
    <w:p w14:paraId="4DC3898C" w14:textId="7ACB2A9A" w:rsidR="00DB3BC2" w:rsidRDefault="00DB3BC2" w:rsidP="00B26065">
      <w:pPr>
        <w:ind w:left="426"/>
        <w:jc w:val="both"/>
        <w:rPr>
          <w:color w:val="FF0000"/>
          <w:sz w:val="22"/>
          <w:szCs w:val="22"/>
        </w:rPr>
      </w:pPr>
      <w:r>
        <w:rPr>
          <w:sz w:val="22"/>
          <w:szCs w:val="22"/>
        </w:rPr>
        <w:t>Posible</w:t>
      </w:r>
      <w:r w:rsidRPr="00A80AAB">
        <w:rPr>
          <w:sz w:val="22"/>
          <w:szCs w:val="22"/>
        </w:rPr>
        <w:t xml:space="preserve"> riesgo </w:t>
      </w:r>
      <w:r w:rsidR="00FA3DF3">
        <w:rPr>
          <w:sz w:val="22"/>
          <w:szCs w:val="22"/>
        </w:rPr>
        <w:t>con</w:t>
      </w:r>
      <w:r w:rsidR="00FA3DF3" w:rsidRPr="00A80AAB">
        <w:rPr>
          <w:sz w:val="22"/>
          <w:szCs w:val="22"/>
        </w:rPr>
        <w:t xml:space="preserve"> </w:t>
      </w:r>
      <w:r w:rsidRPr="00A80AAB">
        <w:rPr>
          <w:sz w:val="22"/>
          <w:szCs w:val="22"/>
        </w:rPr>
        <w:t>carácter operativo</w:t>
      </w:r>
      <w:r>
        <w:rPr>
          <w:sz w:val="22"/>
          <w:szCs w:val="22"/>
        </w:rPr>
        <w:t xml:space="preserve">, </w:t>
      </w:r>
      <w:r w:rsidRPr="00A80AAB">
        <w:rPr>
          <w:sz w:val="22"/>
          <w:szCs w:val="22"/>
        </w:rPr>
        <w:t>financiero</w:t>
      </w:r>
      <w:r>
        <w:rPr>
          <w:sz w:val="22"/>
          <w:szCs w:val="22"/>
        </w:rPr>
        <w:t>, legal</w:t>
      </w:r>
      <w:r w:rsidRPr="00A80AAB">
        <w:rPr>
          <w:sz w:val="22"/>
          <w:szCs w:val="22"/>
        </w:rPr>
        <w:t xml:space="preserve"> y posible detrimento</w:t>
      </w:r>
      <w:r w:rsidRPr="00A80AAB">
        <w:rPr>
          <w:color w:val="FF0000"/>
          <w:sz w:val="22"/>
          <w:szCs w:val="22"/>
        </w:rPr>
        <w:t>.</w:t>
      </w:r>
    </w:p>
    <w:p w14:paraId="1122AD30" w14:textId="77777777" w:rsidR="00DB3BC2" w:rsidRDefault="00DB3BC2" w:rsidP="00B26065">
      <w:pPr>
        <w:ind w:left="426"/>
        <w:jc w:val="both"/>
        <w:rPr>
          <w:b/>
          <w:color w:val="385623" w:themeColor="accent6" w:themeShade="80"/>
          <w:sz w:val="22"/>
        </w:rPr>
      </w:pPr>
    </w:p>
    <w:p w14:paraId="2D39287D" w14:textId="0395491E" w:rsidR="00DB3BC2" w:rsidRDefault="00DB3BC2" w:rsidP="00B26065">
      <w:pPr>
        <w:ind w:left="426"/>
        <w:jc w:val="both"/>
      </w:pPr>
      <w:r w:rsidRPr="001A5CC5">
        <w:rPr>
          <w:b/>
          <w:color w:val="385623" w:themeColor="accent6" w:themeShade="80"/>
          <w:sz w:val="22"/>
        </w:rPr>
        <w:t>Recomendación</w:t>
      </w:r>
      <w:r>
        <w:t xml:space="preserve"> </w:t>
      </w:r>
    </w:p>
    <w:p w14:paraId="69C2ACB6" w14:textId="6121B9AE" w:rsidR="00B26065" w:rsidRDefault="00B26065" w:rsidP="00FF02EC">
      <w:pPr>
        <w:ind w:left="426"/>
        <w:jc w:val="both"/>
        <w:rPr>
          <w:bCs/>
          <w:sz w:val="22"/>
          <w:szCs w:val="22"/>
        </w:rPr>
      </w:pPr>
      <w:r>
        <w:rPr>
          <w:bCs/>
          <w:sz w:val="22"/>
          <w:szCs w:val="22"/>
        </w:rPr>
        <w:t>Se reitera, recomendación anterior relacionada con:</w:t>
      </w:r>
    </w:p>
    <w:p w14:paraId="7C7C052F" w14:textId="53640B1C" w:rsidR="00B26065" w:rsidRDefault="00B26065" w:rsidP="00FF02EC">
      <w:pPr>
        <w:pStyle w:val="Prrafodelista"/>
        <w:numPr>
          <w:ilvl w:val="0"/>
          <w:numId w:val="56"/>
        </w:numPr>
        <w:ind w:left="709" w:hanging="283"/>
        <w:jc w:val="both"/>
        <w:rPr>
          <w:bCs/>
          <w:sz w:val="22"/>
          <w:szCs w:val="22"/>
        </w:rPr>
      </w:pPr>
      <w:r w:rsidRPr="00FF02EC">
        <w:rPr>
          <w:bCs/>
          <w:sz w:val="22"/>
          <w:szCs w:val="22"/>
        </w:rPr>
        <w:t xml:space="preserve">Emitir un informe por parte del nuevo interventor, en el cual se especifique el estado del arte en el cual encontró los contratos. </w:t>
      </w:r>
    </w:p>
    <w:p w14:paraId="3C960CBF" w14:textId="77777777" w:rsidR="0053426A" w:rsidRPr="008F5741" w:rsidRDefault="0053426A" w:rsidP="00B26065">
      <w:pPr>
        <w:ind w:left="426"/>
        <w:jc w:val="both"/>
        <w:rPr>
          <w:bCs/>
          <w:sz w:val="22"/>
          <w:szCs w:val="22"/>
        </w:rPr>
      </w:pPr>
    </w:p>
    <w:p w14:paraId="5CFA6BB6" w14:textId="77777777" w:rsidR="006C5D16" w:rsidRPr="006C5D16" w:rsidRDefault="006C5D16" w:rsidP="006C5D16">
      <w:pPr>
        <w:ind w:left="426"/>
        <w:jc w:val="both"/>
        <w:rPr>
          <w:bCs/>
          <w:sz w:val="22"/>
          <w:szCs w:val="22"/>
        </w:rPr>
      </w:pPr>
      <w:r w:rsidRPr="006C5D16">
        <w:rPr>
          <w:b/>
          <w:color w:val="385623" w:themeColor="accent6" w:themeShade="80"/>
          <w:sz w:val="22"/>
        </w:rPr>
        <w:t xml:space="preserve">Comentarios Administración </w:t>
      </w:r>
    </w:p>
    <w:p w14:paraId="0E031CA2" w14:textId="33AB0796" w:rsidR="006C5D16" w:rsidRDefault="006C5D16" w:rsidP="006C5D16">
      <w:pPr>
        <w:ind w:left="426"/>
        <w:jc w:val="both"/>
        <w:rPr>
          <w:bCs/>
          <w:sz w:val="22"/>
          <w:szCs w:val="22"/>
        </w:rPr>
      </w:pPr>
      <w:r>
        <w:rPr>
          <w:bCs/>
          <w:sz w:val="22"/>
          <w:szCs w:val="22"/>
        </w:rPr>
        <w:t xml:space="preserve">Los arquitectos estaban solicitando el pago o sino la </w:t>
      </w:r>
      <w:r w:rsidR="002D733A">
        <w:rPr>
          <w:bCs/>
          <w:sz w:val="22"/>
          <w:szCs w:val="22"/>
        </w:rPr>
        <w:t>suspensión</w:t>
      </w:r>
      <w:r>
        <w:rPr>
          <w:bCs/>
          <w:sz w:val="22"/>
          <w:szCs w:val="22"/>
        </w:rPr>
        <w:t xml:space="preserve"> del contrato.</w:t>
      </w:r>
      <w:r w:rsidR="002D733A">
        <w:rPr>
          <w:bCs/>
          <w:sz w:val="22"/>
          <w:szCs w:val="22"/>
        </w:rPr>
        <w:t xml:space="preserve"> Se han identificado dificultades jurídicas.</w:t>
      </w:r>
    </w:p>
    <w:p w14:paraId="5A60F145" w14:textId="63254682" w:rsidR="00C9026B" w:rsidRPr="008F5741" w:rsidRDefault="00C9026B" w:rsidP="00B26065">
      <w:pPr>
        <w:ind w:left="426"/>
        <w:jc w:val="both"/>
        <w:rPr>
          <w:bCs/>
          <w:sz w:val="22"/>
          <w:szCs w:val="22"/>
        </w:rPr>
      </w:pPr>
    </w:p>
    <w:p w14:paraId="7BAB99D8" w14:textId="5F2E4E5A" w:rsidR="00BF51E8" w:rsidRPr="008F5741" w:rsidRDefault="002D156E" w:rsidP="008F5741">
      <w:pPr>
        <w:pStyle w:val="Prrafodelista"/>
        <w:numPr>
          <w:ilvl w:val="0"/>
          <w:numId w:val="50"/>
        </w:numPr>
        <w:ind w:left="426" w:hanging="426"/>
        <w:jc w:val="both"/>
        <w:rPr>
          <w:b/>
          <w:color w:val="385623" w:themeColor="accent6" w:themeShade="80"/>
          <w:sz w:val="22"/>
        </w:rPr>
      </w:pPr>
      <w:r w:rsidRPr="008F5741">
        <w:rPr>
          <w:b/>
          <w:color w:val="385623" w:themeColor="accent6" w:themeShade="80"/>
          <w:sz w:val="22"/>
        </w:rPr>
        <w:t xml:space="preserve">Contrato </w:t>
      </w:r>
      <w:r w:rsidR="008F7891" w:rsidRPr="008F5741">
        <w:rPr>
          <w:b/>
          <w:color w:val="385623" w:themeColor="accent6" w:themeShade="80"/>
          <w:sz w:val="22"/>
        </w:rPr>
        <w:t xml:space="preserve">CIS- </w:t>
      </w:r>
      <w:r w:rsidRPr="008F5741">
        <w:rPr>
          <w:b/>
          <w:color w:val="385623" w:themeColor="accent6" w:themeShade="80"/>
          <w:sz w:val="22"/>
        </w:rPr>
        <w:t>Unión Temporal</w:t>
      </w:r>
      <w:r w:rsidR="008F7891" w:rsidRPr="008F5741">
        <w:rPr>
          <w:b/>
          <w:color w:val="385623" w:themeColor="accent6" w:themeShade="80"/>
          <w:sz w:val="22"/>
        </w:rPr>
        <w:t xml:space="preserve"> </w:t>
      </w:r>
      <w:r w:rsidR="0034731A" w:rsidRPr="008F5741">
        <w:rPr>
          <w:b/>
          <w:color w:val="385623" w:themeColor="accent6" w:themeShade="80"/>
          <w:sz w:val="22"/>
        </w:rPr>
        <w:t>(</w:t>
      </w:r>
      <w:r w:rsidR="008F7891" w:rsidRPr="008F5741">
        <w:rPr>
          <w:b/>
          <w:color w:val="385623" w:themeColor="accent6" w:themeShade="80"/>
          <w:sz w:val="22"/>
        </w:rPr>
        <w:t>SM+</w:t>
      </w:r>
      <w:r w:rsidR="00435004" w:rsidRPr="008F5741">
        <w:rPr>
          <w:b/>
          <w:color w:val="385623" w:themeColor="accent6" w:themeShade="80"/>
          <w:sz w:val="22"/>
        </w:rPr>
        <w:t>S</w:t>
      </w:r>
      <w:r w:rsidR="00FA3DF3">
        <w:rPr>
          <w:b/>
          <w:color w:val="385623" w:themeColor="accent6" w:themeShade="80"/>
          <w:sz w:val="22"/>
        </w:rPr>
        <w:t>í</w:t>
      </w:r>
      <w:r w:rsidR="00435004" w:rsidRPr="008F5741">
        <w:rPr>
          <w:b/>
          <w:color w:val="385623" w:themeColor="accent6" w:themeShade="80"/>
          <w:sz w:val="22"/>
        </w:rPr>
        <w:t>ntesis) CPS</w:t>
      </w:r>
      <w:r w:rsidR="00BF51E8" w:rsidRPr="008F5741">
        <w:rPr>
          <w:b/>
          <w:color w:val="385623" w:themeColor="accent6" w:themeShade="80"/>
          <w:sz w:val="22"/>
        </w:rPr>
        <w:t>-2018-109</w:t>
      </w:r>
    </w:p>
    <w:p w14:paraId="6B3ED1D4" w14:textId="638825FF" w:rsidR="002D156E" w:rsidRDefault="002D156E" w:rsidP="00B26065">
      <w:pPr>
        <w:ind w:left="426"/>
        <w:jc w:val="both"/>
        <w:rPr>
          <w:b/>
          <w:color w:val="385623" w:themeColor="accent6" w:themeShade="80"/>
          <w:sz w:val="22"/>
        </w:rPr>
      </w:pPr>
    </w:p>
    <w:p w14:paraId="7AC7C3DF" w14:textId="45FA6F25" w:rsidR="008E4447" w:rsidRDefault="008E4447" w:rsidP="00B26065">
      <w:pPr>
        <w:ind w:left="426"/>
        <w:jc w:val="both"/>
        <w:rPr>
          <w:sz w:val="22"/>
        </w:rPr>
      </w:pPr>
      <w:r>
        <w:rPr>
          <w:bCs/>
          <w:sz w:val="22"/>
          <w:szCs w:val="22"/>
        </w:rPr>
        <w:t xml:space="preserve">El documento </w:t>
      </w:r>
      <w:r w:rsidR="00DB3BC2">
        <w:rPr>
          <w:bCs/>
          <w:sz w:val="22"/>
          <w:szCs w:val="22"/>
        </w:rPr>
        <w:t xml:space="preserve">Informe de gestión #17 </w:t>
      </w:r>
      <w:r w:rsidR="00FA3DF3">
        <w:rPr>
          <w:bCs/>
          <w:sz w:val="22"/>
          <w:szCs w:val="22"/>
        </w:rPr>
        <w:t>de</w:t>
      </w:r>
      <w:r w:rsidR="00DB3BC2">
        <w:rPr>
          <w:bCs/>
          <w:sz w:val="22"/>
          <w:szCs w:val="22"/>
        </w:rPr>
        <w:t xml:space="preserve"> j</w:t>
      </w:r>
      <w:r w:rsidR="00DB3BC2" w:rsidRPr="0067660C">
        <w:rPr>
          <w:bCs/>
          <w:sz w:val="22"/>
          <w:szCs w:val="22"/>
        </w:rPr>
        <w:t>ulio 5</w:t>
      </w:r>
      <w:r w:rsidR="00DB3BC2">
        <w:rPr>
          <w:bCs/>
          <w:sz w:val="22"/>
          <w:szCs w:val="22"/>
        </w:rPr>
        <w:t>,</w:t>
      </w:r>
      <w:r w:rsidR="00DB3BC2" w:rsidRPr="0067660C">
        <w:rPr>
          <w:bCs/>
          <w:sz w:val="22"/>
          <w:szCs w:val="22"/>
        </w:rPr>
        <w:t xml:space="preserve"> 2018</w:t>
      </w:r>
      <w:r w:rsidR="00FA3DF3">
        <w:rPr>
          <w:bCs/>
          <w:sz w:val="22"/>
          <w:szCs w:val="22"/>
        </w:rPr>
        <w:t>, en la</w:t>
      </w:r>
      <w:r w:rsidRPr="0067660C">
        <w:rPr>
          <w:bCs/>
          <w:sz w:val="22"/>
          <w:szCs w:val="22"/>
        </w:rPr>
        <w:t xml:space="preserve"> </w:t>
      </w:r>
      <w:r w:rsidRPr="0067660C">
        <w:rPr>
          <w:sz w:val="22"/>
          <w:szCs w:val="22"/>
        </w:rPr>
        <w:t>página 20</w:t>
      </w:r>
      <w:r>
        <w:rPr>
          <w:sz w:val="22"/>
          <w:szCs w:val="22"/>
        </w:rPr>
        <w:t>, relaciona lo siguiente:</w:t>
      </w:r>
    </w:p>
    <w:p w14:paraId="3A5F1230" w14:textId="77777777" w:rsidR="002D156E" w:rsidRDefault="002D156E" w:rsidP="00B26065">
      <w:pPr>
        <w:ind w:left="426"/>
        <w:jc w:val="both"/>
        <w:rPr>
          <w:b/>
          <w:i/>
          <w:sz w:val="20"/>
        </w:rPr>
      </w:pPr>
    </w:p>
    <w:p w14:paraId="2947D4F6" w14:textId="661266D7" w:rsidR="0067660C" w:rsidRPr="001F44F4" w:rsidRDefault="008E4447" w:rsidP="00B26065">
      <w:pPr>
        <w:ind w:left="709" w:right="191"/>
        <w:jc w:val="both"/>
        <w:rPr>
          <w:i/>
          <w:sz w:val="18"/>
        </w:rPr>
      </w:pPr>
      <w:r w:rsidRPr="001F44F4">
        <w:rPr>
          <w:i/>
          <w:sz w:val="18"/>
        </w:rPr>
        <w:t xml:space="preserve"> </w:t>
      </w:r>
      <w:r w:rsidR="0067660C" w:rsidRPr="001F44F4">
        <w:rPr>
          <w:i/>
          <w:sz w:val="18"/>
        </w:rPr>
        <w:t xml:space="preserve">“Los arquitectos de la Unión Temporal SM+Sintesis, han enviado 2 comunicaciones a la CIS, relacionadas con asuntos técnicos y normativos, una del 27 de abril y otra del 3 de mayo, que a la fecha no han recibido respuesta. Los arquitectos están a la espera de una respuesta oficial, a pesar que se realizó una reunión con la CIS para tratar estos asuntos. Requieren se de claridad en torno a algunas directrices normativas y técnicas que aplican para el desarrollo del proyecto Complejo de Salud. </w:t>
      </w:r>
    </w:p>
    <w:p w14:paraId="43C1BC1B" w14:textId="77777777" w:rsidR="0067660C" w:rsidRPr="00CF7D1A" w:rsidRDefault="0067660C" w:rsidP="00B26065">
      <w:pPr>
        <w:ind w:left="709" w:right="191"/>
        <w:jc w:val="both"/>
        <w:rPr>
          <w:i/>
          <w:sz w:val="20"/>
        </w:rPr>
      </w:pPr>
    </w:p>
    <w:p w14:paraId="7A5A305F" w14:textId="7ED11669" w:rsidR="0067660C" w:rsidRPr="001F44F4" w:rsidRDefault="0067660C" w:rsidP="00B26065">
      <w:pPr>
        <w:ind w:left="709" w:right="191"/>
        <w:jc w:val="both"/>
        <w:rPr>
          <w:i/>
          <w:sz w:val="18"/>
        </w:rPr>
      </w:pPr>
      <w:r w:rsidRPr="001F44F4">
        <w:rPr>
          <w:b/>
          <w:i/>
          <w:sz w:val="18"/>
        </w:rPr>
        <w:t>La Interventoría por parte de la Universidad, no tiene información del estado de los pagos</w:t>
      </w:r>
      <w:r w:rsidRPr="001F44F4">
        <w:rPr>
          <w:i/>
          <w:sz w:val="18"/>
        </w:rPr>
        <w:t xml:space="preserve">. Igualmente, no se tiene respuesta formal a una comunicación de la Interventoría relacionada con las dos comunicaciones enviadas por los arquitectos de la Unión Temporal. Mientras más se dilatan las respuestas, el contratista va a tener más argumentos para soportar </w:t>
      </w:r>
      <w:r w:rsidRPr="001F44F4">
        <w:rPr>
          <w:b/>
          <w:i/>
          <w:sz w:val="18"/>
        </w:rPr>
        <w:t>que no se pueda cumplir con el cronograma</w:t>
      </w:r>
      <w:r w:rsidRPr="001F44F4">
        <w:rPr>
          <w:i/>
          <w:sz w:val="18"/>
        </w:rPr>
        <w:t>. Los arquitectos manifiestan preocupación en relación a los tiempos estimados de la etapa de caracterización</w:t>
      </w:r>
      <w:r w:rsidR="00390024" w:rsidRPr="001F44F4">
        <w:rPr>
          <w:i/>
          <w:sz w:val="18"/>
        </w:rPr>
        <w:t>.”</w:t>
      </w:r>
      <w:r w:rsidR="009C5BA8" w:rsidRPr="001F44F4">
        <w:rPr>
          <w:i/>
          <w:sz w:val="18"/>
        </w:rPr>
        <w:t xml:space="preserve"> </w:t>
      </w:r>
      <w:r w:rsidR="00C9026B" w:rsidRPr="001F44F4">
        <w:rPr>
          <w:sz w:val="18"/>
        </w:rPr>
        <w:t xml:space="preserve">Negrilla </w:t>
      </w:r>
      <w:r w:rsidR="009C5BA8" w:rsidRPr="001F44F4">
        <w:rPr>
          <w:sz w:val="18"/>
        </w:rPr>
        <w:t>fuera de texto.</w:t>
      </w:r>
    </w:p>
    <w:p w14:paraId="13B964F4" w14:textId="77777777" w:rsidR="00DB3BC2" w:rsidRPr="00371ACF" w:rsidRDefault="00DB3BC2" w:rsidP="00B26065">
      <w:pPr>
        <w:ind w:left="426"/>
        <w:rPr>
          <w:b/>
          <w:color w:val="385623" w:themeColor="accent6" w:themeShade="80"/>
          <w:sz w:val="22"/>
        </w:rPr>
      </w:pPr>
      <w:r>
        <w:rPr>
          <w:b/>
          <w:color w:val="385623" w:themeColor="accent6" w:themeShade="80"/>
          <w:sz w:val="22"/>
        </w:rPr>
        <w:lastRenderedPageBreak/>
        <w:t xml:space="preserve">Observación </w:t>
      </w:r>
    </w:p>
    <w:p w14:paraId="1C3E270C" w14:textId="3386BFA0" w:rsidR="00C9026B" w:rsidRDefault="00B26065" w:rsidP="00B26065">
      <w:pPr>
        <w:ind w:left="426"/>
        <w:jc w:val="both"/>
        <w:rPr>
          <w:bCs/>
          <w:sz w:val="22"/>
          <w:szCs w:val="22"/>
        </w:rPr>
      </w:pPr>
      <w:r>
        <w:rPr>
          <w:bCs/>
          <w:sz w:val="22"/>
          <w:szCs w:val="22"/>
        </w:rPr>
        <w:t>S</w:t>
      </w:r>
      <w:r w:rsidR="00C9026B">
        <w:rPr>
          <w:bCs/>
          <w:sz w:val="22"/>
          <w:szCs w:val="22"/>
        </w:rPr>
        <w:t xml:space="preserve">e observan dificultades en la comunicación entre </w:t>
      </w:r>
      <w:r w:rsidR="00C9026B" w:rsidRPr="00031179">
        <w:rPr>
          <w:bCs/>
          <w:sz w:val="22"/>
          <w:szCs w:val="22"/>
        </w:rPr>
        <w:t xml:space="preserve">Unión Temporal </w:t>
      </w:r>
      <w:r w:rsidR="00E15B8F">
        <w:rPr>
          <w:bCs/>
          <w:sz w:val="22"/>
          <w:szCs w:val="22"/>
        </w:rPr>
        <w:t>(</w:t>
      </w:r>
      <w:r w:rsidR="00C9026B" w:rsidRPr="00031179">
        <w:rPr>
          <w:bCs/>
          <w:sz w:val="22"/>
          <w:szCs w:val="22"/>
        </w:rPr>
        <w:t>SM+Sintesis</w:t>
      </w:r>
      <w:r w:rsidR="00E15B8F">
        <w:rPr>
          <w:bCs/>
          <w:sz w:val="22"/>
          <w:szCs w:val="22"/>
        </w:rPr>
        <w:t>)</w:t>
      </w:r>
      <w:r w:rsidR="00C9026B">
        <w:rPr>
          <w:bCs/>
          <w:sz w:val="22"/>
          <w:szCs w:val="22"/>
        </w:rPr>
        <w:t xml:space="preserve"> y la CIS, para el desarrollo y cumplimiento efectivo de los cronogramas del proyecto. </w:t>
      </w:r>
    </w:p>
    <w:p w14:paraId="7876B5F1" w14:textId="77777777" w:rsidR="00DB3BC2" w:rsidRDefault="00DB3BC2" w:rsidP="00B26065">
      <w:pPr>
        <w:ind w:left="426"/>
        <w:rPr>
          <w:b/>
          <w:color w:val="385623" w:themeColor="accent6" w:themeShade="80"/>
          <w:sz w:val="22"/>
        </w:rPr>
      </w:pPr>
    </w:p>
    <w:p w14:paraId="636C2D13" w14:textId="61AB01F3" w:rsidR="00DB3BC2" w:rsidRPr="00371ACF" w:rsidRDefault="00DB3BC2" w:rsidP="00B26065">
      <w:pPr>
        <w:ind w:left="426"/>
        <w:rPr>
          <w:b/>
          <w:color w:val="385623" w:themeColor="accent6" w:themeShade="80"/>
          <w:sz w:val="22"/>
        </w:rPr>
      </w:pPr>
      <w:r>
        <w:rPr>
          <w:b/>
          <w:color w:val="385623" w:themeColor="accent6" w:themeShade="80"/>
          <w:sz w:val="22"/>
        </w:rPr>
        <w:t>Riesgo</w:t>
      </w:r>
    </w:p>
    <w:p w14:paraId="2E2309D9" w14:textId="5D54EEB0" w:rsidR="00E15B8F" w:rsidRDefault="00B26065" w:rsidP="00B26065">
      <w:pPr>
        <w:ind w:left="426"/>
        <w:jc w:val="both"/>
        <w:rPr>
          <w:bCs/>
          <w:sz w:val="22"/>
          <w:szCs w:val="22"/>
        </w:rPr>
      </w:pPr>
      <w:r w:rsidRPr="00FF02EC">
        <w:rPr>
          <w:bCs/>
          <w:sz w:val="22"/>
          <w:szCs w:val="22"/>
        </w:rPr>
        <w:t xml:space="preserve">Riesgo operativo, en cuanto a posibles </w:t>
      </w:r>
      <w:r w:rsidR="00CF06CC" w:rsidRPr="00FF02EC">
        <w:rPr>
          <w:bCs/>
          <w:sz w:val="22"/>
          <w:szCs w:val="22"/>
        </w:rPr>
        <w:t>dificultades y retrasos en la etapa de diseños.</w:t>
      </w:r>
    </w:p>
    <w:p w14:paraId="7EF8D80A" w14:textId="3EBBDF4C" w:rsidR="00DB3BC2" w:rsidRDefault="00CB56C5" w:rsidP="00B26065">
      <w:pPr>
        <w:ind w:left="426"/>
        <w:jc w:val="both"/>
        <w:rPr>
          <w:bCs/>
          <w:sz w:val="22"/>
          <w:szCs w:val="22"/>
        </w:rPr>
      </w:pPr>
      <w:r>
        <w:rPr>
          <w:bCs/>
          <w:sz w:val="22"/>
          <w:szCs w:val="22"/>
        </w:rPr>
        <w:t>Riesgo legal</w:t>
      </w:r>
    </w:p>
    <w:p w14:paraId="48722CE4" w14:textId="77777777" w:rsidR="00CB56C5" w:rsidRDefault="00CB56C5" w:rsidP="00B26065">
      <w:pPr>
        <w:ind w:left="426"/>
        <w:jc w:val="both"/>
        <w:rPr>
          <w:bCs/>
          <w:sz w:val="22"/>
          <w:szCs w:val="22"/>
        </w:rPr>
      </w:pPr>
    </w:p>
    <w:p w14:paraId="128125B1" w14:textId="77777777" w:rsidR="00DB3BC2" w:rsidRDefault="00DB3BC2" w:rsidP="00B26065">
      <w:pPr>
        <w:ind w:left="426"/>
        <w:jc w:val="both"/>
      </w:pPr>
      <w:r w:rsidRPr="001A5CC5">
        <w:rPr>
          <w:b/>
          <w:color w:val="385623" w:themeColor="accent6" w:themeShade="80"/>
          <w:sz w:val="22"/>
        </w:rPr>
        <w:t>Recomendación</w:t>
      </w:r>
      <w:r>
        <w:t xml:space="preserve"> </w:t>
      </w:r>
    </w:p>
    <w:p w14:paraId="5DFCF8CD" w14:textId="77EF08E7" w:rsidR="00D82625" w:rsidRDefault="00DB3BC2" w:rsidP="00B26065">
      <w:pPr>
        <w:ind w:left="426"/>
        <w:jc w:val="both"/>
        <w:rPr>
          <w:bCs/>
          <w:sz w:val="22"/>
          <w:szCs w:val="22"/>
        </w:rPr>
      </w:pPr>
      <w:r w:rsidRPr="00FF02EC">
        <w:rPr>
          <w:bCs/>
          <w:sz w:val="22"/>
          <w:szCs w:val="22"/>
        </w:rPr>
        <w:t>Validar el estado de cuentas entre la CIS y la Unión Temporal.</w:t>
      </w:r>
    </w:p>
    <w:p w14:paraId="4F398836" w14:textId="38A0706E" w:rsidR="00DB3BC2" w:rsidRDefault="00DB3BC2" w:rsidP="00B26065">
      <w:pPr>
        <w:ind w:left="426"/>
        <w:jc w:val="both"/>
        <w:rPr>
          <w:bCs/>
          <w:sz w:val="22"/>
          <w:szCs w:val="22"/>
        </w:rPr>
      </w:pPr>
    </w:p>
    <w:p w14:paraId="34EC737C" w14:textId="77777777" w:rsidR="002D733A" w:rsidRPr="006C5D16" w:rsidRDefault="002D733A" w:rsidP="002D733A">
      <w:pPr>
        <w:ind w:left="426"/>
        <w:jc w:val="both"/>
        <w:rPr>
          <w:bCs/>
          <w:sz w:val="22"/>
          <w:szCs w:val="22"/>
        </w:rPr>
      </w:pPr>
      <w:r w:rsidRPr="006C5D16">
        <w:rPr>
          <w:b/>
          <w:color w:val="385623" w:themeColor="accent6" w:themeShade="80"/>
          <w:sz w:val="22"/>
        </w:rPr>
        <w:t xml:space="preserve">Comentarios Administración </w:t>
      </w:r>
    </w:p>
    <w:p w14:paraId="7E05F011" w14:textId="45C72341" w:rsidR="002D733A" w:rsidRDefault="00685EB0" w:rsidP="002D733A">
      <w:pPr>
        <w:ind w:left="426"/>
        <w:jc w:val="both"/>
        <w:rPr>
          <w:bCs/>
          <w:sz w:val="22"/>
          <w:szCs w:val="22"/>
        </w:rPr>
      </w:pPr>
      <w:r>
        <w:rPr>
          <w:bCs/>
          <w:sz w:val="22"/>
          <w:szCs w:val="22"/>
        </w:rPr>
        <w:t xml:space="preserve">Se </w:t>
      </w:r>
      <w:r w:rsidR="00AC7051">
        <w:rPr>
          <w:bCs/>
          <w:sz w:val="22"/>
          <w:szCs w:val="22"/>
        </w:rPr>
        <w:t>está considerando solicitar la información relacionada a la CIS.</w:t>
      </w:r>
    </w:p>
    <w:p w14:paraId="6D229D1A" w14:textId="77777777" w:rsidR="00852773" w:rsidRDefault="00852773" w:rsidP="00CF04E4">
      <w:pPr>
        <w:ind w:left="426"/>
        <w:jc w:val="both"/>
        <w:rPr>
          <w:bCs/>
          <w:sz w:val="22"/>
          <w:szCs w:val="22"/>
        </w:rPr>
      </w:pPr>
    </w:p>
    <w:p w14:paraId="57F52DE1" w14:textId="01CD47A8" w:rsidR="00D82625" w:rsidRPr="00031179" w:rsidRDefault="00D82625" w:rsidP="00FF02EC">
      <w:pPr>
        <w:pStyle w:val="Prrafodelista"/>
        <w:numPr>
          <w:ilvl w:val="0"/>
          <w:numId w:val="50"/>
        </w:numPr>
        <w:ind w:left="426" w:hanging="426"/>
        <w:jc w:val="both"/>
        <w:rPr>
          <w:b/>
          <w:color w:val="385623" w:themeColor="accent6" w:themeShade="80"/>
          <w:sz w:val="22"/>
        </w:rPr>
      </w:pPr>
      <w:r w:rsidRPr="00031179">
        <w:rPr>
          <w:b/>
          <w:color w:val="385623" w:themeColor="accent6" w:themeShade="80"/>
          <w:sz w:val="22"/>
        </w:rPr>
        <w:t xml:space="preserve">Pagos </w:t>
      </w:r>
      <w:r>
        <w:rPr>
          <w:b/>
          <w:color w:val="385623" w:themeColor="accent6" w:themeShade="80"/>
          <w:sz w:val="22"/>
        </w:rPr>
        <w:t>Contrato CIS- Unión Temporal (</w:t>
      </w:r>
      <w:r w:rsidRPr="008F7891">
        <w:rPr>
          <w:b/>
          <w:color w:val="385623" w:themeColor="accent6" w:themeShade="80"/>
          <w:sz w:val="22"/>
        </w:rPr>
        <w:t>SM+</w:t>
      </w:r>
      <w:r w:rsidR="00435004" w:rsidRPr="008F7891">
        <w:rPr>
          <w:b/>
          <w:color w:val="385623" w:themeColor="accent6" w:themeShade="80"/>
          <w:sz w:val="22"/>
        </w:rPr>
        <w:t>Sintesis</w:t>
      </w:r>
      <w:r w:rsidR="00435004">
        <w:rPr>
          <w:b/>
          <w:color w:val="385623" w:themeColor="accent6" w:themeShade="80"/>
          <w:sz w:val="22"/>
        </w:rPr>
        <w:t>) CPS</w:t>
      </w:r>
      <w:r w:rsidRPr="00F21A5A">
        <w:rPr>
          <w:b/>
          <w:color w:val="385623" w:themeColor="accent6" w:themeShade="80"/>
          <w:sz w:val="22"/>
        </w:rPr>
        <w:t>-2018-109</w:t>
      </w:r>
    </w:p>
    <w:p w14:paraId="403D8E16" w14:textId="783943DB" w:rsidR="00D82625" w:rsidRPr="00031179" w:rsidRDefault="00D82625" w:rsidP="00C670BF">
      <w:pPr>
        <w:ind w:left="426"/>
        <w:jc w:val="both"/>
        <w:rPr>
          <w:b/>
          <w:color w:val="385623" w:themeColor="accent6" w:themeShade="80"/>
          <w:sz w:val="22"/>
        </w:rPr>
      </w:pPr>
    </w:p>
    <w:p w14:paraId="5CB9D0EB" w14:textId="3FC8D7CF" w:rsidR="00045CE3" w:rsidRDefault="00045CE3" w:rsidP="00C670BF">
      <w:pPr>
        <w:ind w:left="426"/>
        <w:jc w:val="both"/>
        <w:rPr>
          <w:bCs/>
          <w:sz w:val="22"/>
          <w:szCs w:val="22"/>
        </w:rPr>
      </w:pPr>
      <w:r>
        <w:rPr>
          <w:bCs/>
          <w:sz w:val="22"/>
          <w:szCs w:val="22"/>
        </w:rPr>
        <w:t>El documento “</w:t>
      </w:r>
      <w:r w:rsidRPr="00031179">
        <w:rPr>
          <w:bCs/>
          <w:i/>
          <w:sz w:val="22"/>
          <w:szCs w:val="22"/>
        </w:rPr>
        <w:t xml:space="preserve">COMPONENTE </w:t>
      </w:r>
      <w:r w:rsidR="0090192B">
        <w:rPr>
          <w:bCs/>
          <w:i/>
          <w:sz w:val="22"/>
          <w:szCs w:val="22"/>
        </w:rPr>
        <w:t>FÍSICO</w:t>
      </w:r>
      <w:r w:rsidRPr="00031179">
        <w:rPr>
          <w:bCs/>
          <w:i/>
          <w:sz w:val="22"/>
          <w:szCs w:val="22"/>
        </w:rPr>
        <w:t xml:space="preserve"> PROYECTO COMPLEJO DE LA SALUD</w:t>
      </w:r>
      <w:r w:rsidRPr="00031179">
        <w:rPr>
          <w:bCs/>
          <w:sz w:val="22"/>
          <w:szCs w:val="22"/>
        </w:rPr>
        <w:t xml:space="preserve">”, </w:t>
      </w:r>
      <w:r>
        <w:rPr>
          <w:bCs/>
          <w:sz w:val="22"/>
          <w:szCs w:val="22"/>
        </w:rPr>
        <w:t xml:space="preserve">páginas 77 a 85, </w:t>
      </w:r>
      <w:r w:rsidR="00C06390">
        <w:rPr>
          <w:bCs/>
          <w:sz w:val="22"/>
          <w:szCs w:val="22"/>
        </w:rPr>
        <w:t>evidencia</w:t>
      </w:r>
      <w:r>
        <w:rPr>
          <w:bCs/>
          <w:sz w:val="22"/>
          <w:szCs w:val="22"/>
        </w:rPr>
        <w:t xml:space="preserve"> dificultades en cuanto al consenso para la firma del acta de suspensión del contrato, puesto que el contratista requiere se cumplan las siguientes condiciones. </w:t>
      </w:r>
    </w:p>
    <w:p w14:paraId="687D213D" w14:textId="77CFE495" w:rsidR="00045CE3" w:rsidRDefault="00045CE3" w:rsidP="00C670BF">
      <w:pPr>
        <w:ind w:left="426"/>
        <w:jc w:val="both"/>
        <w:rPr>
          <w:bCs/>
          <w:sz w:val="22"/>
          <w:szCs w:val="22"/>
        </w:rPr>
      </w:pPr>
    </w:p>
    <w:p w14:paraId="77AA9AAE" w14:textId="77777777" w:rsidR="00045CE3" w:rsidRPr="001F44F4" w:rsidRDefault="00045CE3" w:rsidP="00FC3EB6">
      <w:pPr>
        <w:ind w:left="709" w:right="333"/>
        <w:jc w:val="both"/>
        <w:rPr>
          <w:i/>
          <w:sz w:val="18"/>
          <w:szCs w:val="18"/>
        </w:rPr>
      </w:pPr>
      <w:r w:rsidRPr="001F44F4">
        <w:rPr>
          <w:i/>
          <w:sz w:val="18"/>
          <w:szCs w:val="18"/>
        </w:rPr>
        <w:t xml:space="preserve">“Que se pague de forma inmediata el importe de la factura 1 del 1 de marzo de 2018 por valor de $1.012.705.356 IVA incluido y que corresponde al primer pago pactado en la cláusula tercera del Contrato. </w:t>
      </w:r>
    </w:p>
    <w:p w14:paraId="66FCF6BA" w14:textId="63939C81" w:rsidR="00045CE3" w:rsidRPr="001F44F4" w:rsidRDefault="00045CE3" w:rsidP="00FC3EB6">
      <w:pPr>
        <w:ind w:left="709" w:right="333"/>
        <w:jc w:val="both"/>
        <w:rPr>
          <w:i/>
          <w:sz w:val="18"/>
          <w:szCs w:val="18"/>
        </w:rPr>
      </w:pPr>
      <w:r w:rsidRPr="001F44F4">
        <w:rPr>
          <w:i/>
          <w:sz w:val="18"/>
          <w:szCs w:val="18"/>
        </w:rPr>
        <w:t xml:space="preserve">Que se mida de forma conjunta el porcentaje de ejecución actual que ha alcanzado la UT y que en el acta de suspensión se incluya un considerando en el cual se determine que el porcentaje de avance del proyecto a la fecha es del </w:t>
      </w:r>
      <w:r w:rsidRPr="001F44F4">
        <w:rPr>
          <w:b/>
          <w:i/>
          <w:sz w:val="18"/>
          <w:szCs w:val="18"/>
        </w:rPr>
        <w:t>cuarenta por ciento (40%),</w:t>
      </w:r>
      <w:r w:rsidRPr="001F44F4">
        <w:rPr>
          <w:i/>
          <w:sz w:val="18"/>
          <w:szCs w:val="18"/>
        </w:rPr>
        <w:t xml:space="preserve"> o el que resulte de dicha medición. Para ello, se podrán tomar como base los insumos que se entregarán en la semana del 14 al 18 de mayo</w:t>
      </w:r>
      <w:r w:rsidR="00A85866" w:rsidRPr="001F44F4">
        <w:rPr>
          <w:i/>
          <w:sz w:val="18"/>
          <w:szCs w:val="18"/>
        </w:rPr>
        <w:t xml:space="preserve"> (..)”</w:t>
      </w:r>
      <w:r w:rsidRPr="001F44F4">
        <w:rPr>
          <w:i/>
          <w:sz w:val="18"/>
          <w:szCs w:val="18"/>
        </w:rPr>
        <w:t>.</w:t>
      </w:r>
    </w:p>
    <w:p w14:paraId="7D811B5D" w14:textId="61C972CF" w:rsidR="00045CE3" w:rsidRPr="001F44F4" w:rsidRDefault="00045CE3" w:rsidP="00FC3EB6">
      <w:pPr>
        <w:ind w:left="709" w:right="333"/>
        <w:jc w:val="both"/>
        <w:rPr>
          <w:bCs/>
          <w:sz w:val="18"/>
          <w:szCs w:val="18"/>
        </w:rPr>
      </w:pPr>
    </w:p>
    <w:p w14:paraId="712402A7" w14:textId="4D09C3E8" w:rsidR="00B57B37" w:rsidRPr="001F44F4" w:rsidRDefault="00B57B37" w:rsidP="00FC3EB6">
      <w:pPr>
        <w:pStyle w:val="Prrafodelista"/>
        <w:ind w:left="709" w:right="333"/>
        <w:jc w:val="both"/>
        <w:rPr>
          <w:sz w:val="18"/>
          <w:szCs w:val="18"/>
        </w:rPr>
      </w:pPr>
      <w:r w:rsidRPr="001F44F4">
        <w:rPr>
          <w:i/>
          <w:sz w:val="18"/>
          <w:szCs w:val="18"/>
        </w:rPr>
        <w:t>“Que se aclare por parte de CIS el numeral 4 del acápite de consideraciones del borrador de acta de suspensión, pues es necesario entender que es lo que verdaderamente significa que “</w:t>
      </w:r>
      <w:r w:rsidRPr="001F44F4">
        <w:rPr>
          <w:b/>
          <w:i/>
          <w:sz w:val="18"/>
          <w:szCs w:val="18"/>
        </w:rPr>
        <w:t>El proyecto no cuenta con una Evaluación Financiera integral</w:t>
      </w:r>
      <w:r w:rsidRPr="001F44F4">
        <w:rPr>
          <w:i/>
          <w:sz w:val="18"/>
          <w:szCs w:val="18"/>
        </w:rPr>
        <w:t>” y cuál es el impacto de ello en el corto, mediano y largo plazo.  Desde ya la UT aclara y manifiesta que si existen dificultades presupuestales para la ejecución de la futura obra, ello no es del resorte de la UT…”</w:t>
      </w:r>
      <w:r w:rsidR="00C06390" w:rsidRPr="001F44F4">
        <w:rPr>
          <w:i/>
          <w:sz w:val="18"/>
          <w:szCs w:val="18"/>
        </w:rPr>
        <w:t xml:space="preserve"> (negrilla, fuera del texto)</w:t>
      </w:r>
    </w:p>
    <w:p w14:paraId="084649B7" w14:textId="0E80E6BB" w:rsidR="00B57B37" w:rsidRDefault="00B57B37" w:rsidP="00C670BF">
      <w:pPr>
        <w:ind w:left="426"/>
        <w:jc w:val="both"/>
        <w:rPr>
          <w:bCs/>
          <w:sz w:val="22"/>
          <w:szCs w:val="22"/>
        </w:rPr>
      </w:pPr>
    </w:p>
    <w:p w14:paraId="6566149F" w14:textId="77777777" w:rsidR="00012CC6" w:rsidRPr="00371ACF" w:rsidRDefault="00012CC6" w:rsidP="00C670BF">
      <w:pPr>
        <w:ind w:left="426"/>
        <w:rPr>
          <w:b/>
          <w:color w:val="385623" w:themeColor="accent6" w:themeShade="80"/>
          <w:sz w:val="22"/>
        </w:rPr>
      </w:pPr>
      <w:r>
        <w:rPr>
          <w:b/>
          <w:color w:val="385623" w:themeColor="accent6" w:themeShade="80"/>
          <w:sz w:val="22"/>
        </w:rPr>
        <w:t xml:space="preserve">Observación </w:t>
      </w:r>
    </w:p>
    <w:p w14:paraId="3904635A" w14:textId="5174AF94" w:rsidR="00B57B37" w:rsidRPr="0038620A" w:rsidRDefault="00031179" w:rsidP="00C670BF">
      <w:pPr>
        <w:ind w:left="426"/>
        <w:jc w:val="both"/>
        <w:rPr>
          <w:sz w:val="22"/>
          <w:szCs w:val="22"/>
        </w:rPr>
      </w:pPr>
      <w:r>
        <w:rPr>
          <w:sz w:val="22"/>
          <w:szCs w:val="22"/>
        </w:rPr>
        <w:t>Lo anterior, p</w:t>
      </w:r>
      <w:r w:rsidR="00B32B7F">
        <w:rPr>
          <w:sz w:val="22"/>
          <w:szCs w:val="22"/>
        </w:rPr>
        <w:t xml:space="preserve">uede </w:t>
      </w:r>
      <w:r w:rsidR="00B57B37">
        <w:rPr>
          <w:sz w:val="22"/>
          <w:szCs w:val="22"/>
        </w:rPr>
        <w:t>dilata</w:t>
      </w:r>
      <w:r w:rsidR="00B32B7F">
        <w:rPr>
          <w:sz w:val="22"/>
          <w:szCs w:val="22"/>
        </w:rPr>
        <w:t>r</w:t>
      </w:r>
      <w:r w:rsidR="00B57B37">
        <w:rPr>
          <w:sz w:val="22"/>
          <w:szCs w:val="22"/>
        </w:rPr>
        <w:t xml:space="preserve"> </w:t>
      </w:r>
      <w:r w:rsidR="00B57B37" w:rsidRPr="00EC0019">
        <w:rPr>
          <w:sz w:val="22"/>
          <w:szCs w:val="22"/>
        </w:rPr>
        <w:t xml:space="preserve">el proceso </w:t>
      </w:r>
      <w:r>
        <w:rPr>
          <w:sz w:val="22"/>
          <w:szCs w:val="22"/>
        </w:rPr>
        <w:t>de</w:t>
      </w:r>
      <w:r w:rsidR="00B57B37">
        <w:rPr>
          <w:sz w:val="22"/>
          <w:szCs w:val="22"/>
        </w:rPr>
        <w:t xml:space="preserve"> </w:t>
      </w:r>
      <w:r w:rsidR="00B57B37" w:rsidRPr="00EC0019">
        <w:rPr>
          <w:sz w:val="22"/>
          <w:szCs w:val="22"/>
        </w:rPr>
        <w:t>elaboración de diseños del</w:t>
      </w:r>
      <w:r w:rsidR="00B57B37">
        <w:rPr>
          <w:sz w:val="22"/>
          <w:szCs w:val="22"/>
        </w:rPr>
        <w:t xml:space="preserve"> proyecto.</w:t>
      </w:r>
      <w:r w:rsidR="00124BB5">
        <w:rPr>
          <w:sz w:val="22"/>
          <w:szCs w:val="22"/>
        </w:rPr>
        <w:t xml:space="preserve"> Además de ocasionar dificultades de carácter contractual dado los pagos no efectuados al contratista de acuerdo a la ejecución reportada.</w:t>
      </w:r>
    </w:p>
    <w:p w14:paraId="74A44BAA" w14:textId="7FD55BDD" w:rsidR="00124BB5" w:rsidRDefault="00124BB5" w:rsidP="00C670BF">
      <w:pPr>
        <w:ind w:left="426"/>
        <w:jc w:val="both"/>
        <w:rPr>
          <w:bCs/>
          <w:color w:val="FF0000"/>
          <w:sz w:val="22"/>
          <w:szCs w:val="22"/>
        </w:rPr>
      </w:pPr>
    </w:p>
    <w:p w14:paraId="4A25FB24" w14:textId="77777777" w:rsidR="00124BB5" w:rsidRDefault="00124BB5" w:rsidP="00C670BF">
      <w:pPr>
        <w:ind w:left="426"/>
        <w:jc w:val="both"/>
        <w:rPr>
          <w:bCs/>
          <w:color w:val="FF0000"/>
          <w:sz w:val="22"/>
          <w:szCs w:val="22"/>
        </w:rPr>
      </w:pPr>
    </w:p>
    <w:p w14:paraId="70E41C02" w14:textId="77777777" w:rsidR="00012CC6" w:rsidRPr="00371ACF" w:rsidRDefault="00012CC6" w:rsidP="00C670BF">
      <w:pPr>
        <w:ind w:left="426"/>
        <w:rPr>
          <w:b/>
          <w:color w:val="385623" w:themeColor="accent6" w:themeShade="80"/>
          <w:sz w:val="22"/>
        </w:rPr>
      </w:pPr>
      <w:r>
        <w:rPr>
          <w:b/>
          <w:color w:val="385623" w:themeColor="accent6" w:themeShade="80"/>
          <w:sz w:val="22"/>
        </w:rPr>
        <w:t>Riesgo</w:t>
      </w:r>
    </w:p>
    <w:p w14:paraId="72DB6C00" w14:textId="1E55C8E1" w:rsidR="00012CC6" w:rsidRPr="00E1445F" w:rsidRDefault="00124BB5" w:rsidP="00C670BF">
      <w:pPr>
        <w:ind w:left="426"/>
        <w:jc w:val="both"/>
        <w:rPr>
          <w:bCs/>
          <w:sz w:val="22"/>
          <w:szCs w:val="22"/>
        </w:rPr>
      </w:pPr>
      <w:r w:rsidRPr="00E1445F">
        <w:rPr>
          <w:bCs/>
          <w:sz w:val="22"/>
          <w:szCs w:val="22"/>
        </w:rPr>
        <w:t>Dificultades legales y contractuales</w:t>
      </w:r>
    </w:p>
    <w:p w14:paraId="79C702D0" w14:textId="77777777" w:rsidR="00012CC6" w:rsidRDefault="00012CC6" w:rsidP="00C670BF">
      <w:pPr>
        <w:ind w:left="426"/>
        <w:jc w:val="both"/>
        <w:rPr>
          <w:bCs/>
          <w:color w:val="FF0000"/>
          <w:sz w:val="22"/>
          <w:szCs w:val="22"/>
        </w:rPr>
      </w:pPr>
    </w:p>
    <w:p w14:paraId="6DD6DF3C" w14:textId="7610A1CF" w:rsidR="00012CC6" w:rsidRDefault="00012CC6" w:rsidP="00C670BF">
      <w:pPr>
        <w:ind w:left="426"/>
        <w:jc w:val="both"/>
        <w:rPr>
          <w:bCs/>
          <w:color w:val="FF0000"/>
          <w:sz w:val="22"/>
          <w:szCs w:val="22"/>
        </w:rPr>
      </w:pPr>
      <w:r w:rsidRPr="001A5CC5">
        <w:rPr>
          <w:b/>
          <w:color w:val="385623" w:themeColor="accent6" w:themeShade="80"/>
          <w:sz w:val="22"/>
        </w:rPr>
        <w:t>Recomendación</w:t>
      </w:r>
    </w:p>
    <w:p w14:paraId="49797549" w14:textId="5C082BA4" w:rsidR="00012CC6" w:rsidRPr="00E1445F" w:rsidRDefault="00124BB5" w:rsidP="00C670BF">
      <w:pPr>
        <w:ind w:left="426"/>
        <w:jc w:val="both"/>
        <w:rPr>
          <w:bCs/>
          <w:sz w:val="22"/>
          <w:szCs w:val="22"/>
        </w:rPr>
      </w:pPr>
      <w:r w:rsidRPr="00E1445F">
        <w:rPr>
          <w:bCs/>
          <w:sz w:val="22"/>
          <w:szCs w:val="22"/>
        </w:rPr>
        <w:t>Verificar el estado de avance del proyecto en cuanto a la ejecución de acuerdo a los insumos o productos entregados.</w:t>
      </w:r>
    </w:p>
    <w:p w14:paraId="1F979671" w14:textId="0F113FE4" w:rsidR="00124BB5" w:rsidRPr="00E1445F" w:rsidRDefault="00124BB5" w:rsidP="00C670BF">
      <w:pPr>
        <w:ind w:left="426"/>
        <w:jc w:val="both"/>
        <w:rPr>
          <w:bCs/>
          <w:sz w:val="22"/>
          <w:szCs w:val="22"/>
        </w:rPr>
      </w:pPr>
    </w:p>
    <w:p w14:paraId="23CCB82A" w14:textId="6619D255" w:rsidR="00124BB5" w:rsidRPr="00E1445F" w:rsidRDefault="00124BB5" w:rsidP="00C670BF">
      <w:pPr>
        <w:ind w:left="426"/>
        <w:jc w:val="both"/>
        <w:rPr>
          <w:bCs/>
          <w:sz w:val="22"/>
          <w:szCs w:val="22"/>
        </w:rPr>
      </w:pPr>
      <w:r w:rsidRPr="00E1445F">
        <w:rPr>
          <w:bCs/>
          <w:sz w:val="22"/>
          <w:szCs w:val="22"/>
        </w:rPr>
        <w:t xml:space="preserve">Validar el estado de pagos y la situación financiera </w:t>
      </w:r>
      <w:r w:rsidR="00B2799A" w:rsidRPr="00E1445F">
        <w:rPr>
          <w:bCs/>
          <w:sz w:val="22"/>
          <w:szCs w:val="22"/>
        </w:rPr>
        <w:t>para la ejecución presupuestal actual.</w:t>
      </w:r>
    </w:p>
    <w:p w14:paraId="7E448114" w14:textId="506897F5" w:rsidR="00012CC6" w:rsidRDefault="00012CC6" w:rsidP="00C670BF">
      <w:pPr>
        <w:ind w:left="426"/>
        <w:jc w:val="both"/>
        <w:rPr>
          <w:bCs/>
          <w:color w:val="FF0000"/>
          <w:sz w:val="22"/>
          <w:szCs w:val="22"/>
        </w:rPr>
      </w:pPr>
    </w:p>
    <w:p w14:paraId="42D21CC2" w14:textId="77777777" w:rsidR="00CB56C5" w:rsidRPr="006C5D16" w:rsidRDefault="00CB56C5" w:rsidP="00CB56C5">
      <w:pPr>
        <w:ind w:left="426"/>
        <w:jc w:val="both"/>
        <w:rPr>
          <w:bCs/>
          <w:sz w:val="22"/>
          <w:szCs w:val="22"/>
        </w:rPr>
      </w:pPr>
      <w:r w:rsidRPr="006C5D16">
        <w:rPr>
          <w:b/>
          <w:color w:val="385623" w:themeColor="accent6" w:themeShade="80"/>
          <w:sz w:val="22"/>
        </w:rPr>
        <w:t xml:space="preserve">Comentarios Administración </w:t>
      </w:r>
    </w:p>
    <w:p w14:paraId="579A6DCA" w14:textId="7FE0AC9C" w:rsidR="00CB56C5" w:rsidRPr="00CB56C5" w:rsidRDefault="00CB56C5" w:rsidP="00C670BF">
      <w:pPr>
        <w:ind w:left="426"/>
        <w:jc w:val="both"/>
        <w:rPr>
          <w:bCs/>
          <w:sz w:val="22"/>
          <w:szCs w:val="22"/>
        </w:rPr>
      </w:pPr>
      <w:r w:rsidRPr="00CB56C5">
        <w:rPr>
          <w:bCs/>
          <w:sz w:val="22"/>
          <w:szCs w:val="22"/>
        </w:rPr>
        <w:t>De acuerdo con la recomendación</w:t>
      </w:r>
    </w:p>
    <w:p w14:paraId="6C628464" w14:textId="7809B33A" w:rsidR="00CB56C5" w:rsidRDefault="00CB56C5">
      <w:pPr>
        <w:spacing w:after="160" w:line="259" w:lineRule="auto"/>
        <w:rPr>
          <w:b/>
          <w:color w:val="385623" w:themeColor="accent6" w:themeShade="80"/>
          <w:sz w:val="22"/>
        </w:rPr>
      </w:pPr>
      <w:r>
        <w:rPr>
          <w:b/>
          <w:color w:val="385623" w:themeColor="accent6" w:themeShade="80"/>
          <w:sz w:val="22"/>
        </w:rPr>
        <w:br w:type="page"/>
      </w:r>
    </w:p>
    <w:p w14:paraId="5B19C534" w14:textId="122580A8" w:rsidR="00F273A0" w:rsidRDefault="00F273A0" w:rsidP="00FF02EC">
      <w:pPr>
        <w:pStyle w:val="Prrafodelista"/>
        <w:numPr>
          <w:ilvl w:val="0"/>
          <w:numId w:val="50"/>
        </w:numPr>
        <w:ind w:left="426" w:hanging="426"/>
        <w:jc w:val="both"/>
        <w:rPr>
          <w:b/>
          <w:color w:val="385623" w:themeColor="accent6" w:themeShade="80"/>
          <w:sz w:val="22"/>
        </w:rPr>
      </w:pPr>
      <w:r>
        <w:rPr>
          <w:b/>
          <w:color w:val="385623" w:themeColor="accent6" w:themeShade="80"/>
          <w:sz w:val="22"/>
        </w:rPr>
        <w:lastRenderedPageBreak/>
        <w:t>Cronograma</w:t>
      </w:r>
      <w:r w:rsidRPr="00F21A5A">
        <w:rPr>
          <w:b/>
          <w:color w:val="385623" w:themeColor="accent6" w:themeShade="80"/>
          <w:sz w:val="22"/>
        </w:rPr>
        <w:t xml:space="preserve"> </w:t>
      </w:r>
      <w:r>
        <w:rPr>
          <w:b/>
          <w:color w:val="385623" w:themeColor="accent6" w:themeShade="80"/>
          <w:sz w:val="22"/>
        </w:rPr>
        <w:t>Contrato CIS- Unión Temporal (</w:t>
      </w:r>
      <w:r w:rsidRPr="008F7891">
        <w:rPr>
          <w:b/>
          <w:color w:val="385623" w:themeColor="accent6" w:themeShade="80"/>
          <w:sz w:val="22"/>
        </w:rPr>
        <w:t>SM+S</w:t>
      </w:r>
      <w:r w:rsidR="00CF04E4">
        <w:rPr>
          <w:b/>
          <w:color w:val="385623" w:themeColor="accent6" w:themeShade="80"/>
          <w:sz w:val="22"/>
        </w:rPr>
        <w:t>í</w:t>
      </w:r>
      <w:r w:rsidRPr="008F7891">
        <w:rPr>
          <w:b/>
          <w:color w:val="385623" w:themeColor="accent6" w:themeShade="80"/>
          <w:sz w:val="22"/>
        </w:rPr>
        <w:t>ntesis</w:t>
      </w:r>
      <w:r>
        <w:rPr>
          <w:b/>
          <w:color w:val="385623" w:themeColor="accent6" w:themeShade="80"/>
          <w:sz w:val="22"/>
        </w:rPr>
        <w:t xml:space="preserve">) </w:t>
      </w:r>
      <w:r w:rsidRPr="00F21A5A">
        <w:rPr>
          <w:b/>
          <w:color w:val="385623" w:themeColor="accent6" w:themeShade="80"/>
          <w:sz w:val="22"/>
        </w:rPr>
        <w:t>CPS-2018-109</w:t>
      </w:r>
      <w:r w:rsidR="00BB14CC">
        <w:rPr>
          <w:b/>
          <w:color w:val="385623" w:themeColor="accent6" w:themeShade="80"/>
          <w:sz w:val="22"/>
        </w:rPr>
        <w:t>.</w:t>
      </w:r>
    </w:p>
    <w:p w14:paraId="74BFA57D" w14:textId="77777777" w:rsidR="00BB14CC" w:rsidRPr="00F21A5A" w:rsidRDefault="00BB14CC" w:rsidP="00EB22DA">
      <w:pPr>
        <w:pStyle w:val="Prrafodelista"/>
        <w:ind w:left="426"/>
        <w:jc w:val="both"/>
        <w:rPr>
          <w:b/>
          <w:color w:val="385623" w:themeColor="accent6" w:themeShade="80"/>
          <w:sz w:val="22"/>
        </w:rPr>
      </w:pPr>
    </w:p>
    <w:p w14:paraId="48430029" w14:textId="650F1669" w:rsidR="00A32642" w:rsidRPr="00012CC6" w:rsidRDefault="00CF04E4" w:rsidP="00EB22DA">
      <w:pPr>
        <w:ind w:left="426"/>
        <w:jc w:val="both"/>
        <w:rPr>
          <w:bCs/>
          <w:sz w:val="22"/>
          <w:szCs w:val="22"/>
        </w:rPr>
      </w:pPr>
      <w:r>
        <w:rPr>
          <w:bCs/>
          <w:sz w:val="22"/>
          <w:szCs w:val="22"/>
        </w:rPr>
        <w:t>De acuerdo con el</w:t>
      </w:r>
      <w:r w:rsidR="00784038">
        <w:rPr>
          <w:bCs/>
          <w:sz w:val="22"/>
          <w:szCs w:val="22"/>
        </w:rPr>
        <w:t xml:space="preserve"> análisis realizado al componente físico del proyecto, por</w:t>
      </w:r>
      <w:r w:rsidR="0090192B">
        <w:rPr>
          <w:bCs/>
          <w:sz w:val="22"/>
          <w:szCs w:val="22"/>
        </w:rPr>
        <w:t xml:space="preserve"> parte</w:t>
      </w:r>
      <w:r w:rsidR="00784038">
        <w:rPr>
          <w:bCs/>
          <w:sz w:val="22"/>
          <w:szCs w:val="22"/>
        </w:rPr>
        <w:t xml:space="preserve"> la Gerencia Técnica, el cronograma refiere dific</w:t>
      </w:r>
      <w:r w:rsidR="0090192B">
        <w:rPr>
          <w:bCs/>
          <w:sz w:val="22"/>
          <w:szCs w:val="22"/>
        </w:rPr>
        <w:t>ultades para el cumplimiento en los</w:t>
      </w:r>
      <w:r w:rsidR="00784038">
        <w:rPr>
          <w:bCs/>
          <w:sz w:val="22"/>
          <w:szCs w:val="22"/>
        </w:rPr>
        <w:t xml:space="preserve"> diseños técnicos, </w:t>
      </w:r>
      <w:r w:rsidR="0090192B">
        <w:rPr>
          <w:bCs/>
          <w:sz w:val="22"/>
          <w:szCs w:val="22"/>
        </w:rPr>
        <w:t xml:space="preserve">además, de evidenciar la necesidad de ampliación </w:t>
      </w:r>
      <w:r w:rsidR="00FA3DF3">
        <w:rPr>
          <w:bCs/>
          <w:sz w:val="22"/>
          <w:szCs w:val="22"/>
        </w:rPr>
        <w:t>de este</w:t>
      </w:r>
      <w:r w:rsidR="0090192B">
        <w:rPr>
          <w:bCs/>
          <w:sz w:val="22"/>
          <w:szCs w:val="22"/>
        </w:rPr>
        <w:t xml:space="preserve"> </w:t>
      </w:r>
      <w:r w:rsidR="00F537CD">
        <w:rPr>
          <w:bCs/>
          <w:sz w:val="22"/>
          <w:szCs w:val="22"/>
        </w:rPr>
        <w:t xml:space="preserve">en un estimado de cuatro meses; </w:t>
      </w:r>
      <w:r w:rsidR="00012CC6">
        <w:rPr>
          <w:bCs/>
          <w:sz w:val="22"/>
          <w:szCs w:val="22"/>
        </w:rPr>
        <w:t>con relación a</w:t>
      </w:r>
      <w:r w:rsidR="00A32642" w:rsidRPr="00012CC6">
        <w:rPr>
          <w:bCs/>
          <w:sz w:val="22"/>
          <w:szCs w:val="22"/>
        </w:rPr>
        <w:t>:</w:t>
      </w:r>
    </w:p>
    <w:p w14:paraId="58C858AC" w14:textId="77777777" w:rsidR="00A32642" w:rsidRPr="00B850DC" w:rsidRDefault="00A32642" w:rsidP="00BB14CC">
      <w:pPr>
        <w:pStyle w:val="Prrafodelista"/>
        <w:numPr>
          <w:ilvl w:val="0"/>
          <w:numId w:val="21"/>
        </w:numPr>
        <w:ind w:left="1134" w:right="565" w:hanging="283"/>
        <w:jc w:val="both"/>
        <w:rPr>
          <w:i/>
          <w:sz w:val="20"/>
        </w:rPr>
      </w:pPr>
      <w:r w:rsidRPr="00B850DC">
        <w:rPr>
          <w:i/>
          <w:sz w:val="20"/>
        </w:rPr>
        <w:t xml:space="preserve">Cambio de vigencia presupuestal (2019). </w:t>
      </w:r>
    </w:p>
    <w:p w14:paraId="18FEABBC" w14:textId="77777777" w:rsidR="00A32642" w:rsidRDefault="00A32642" w:rsidP="00BB14CC">
      <w:pPr>
        <w:pStyle w:val="Prrafodelista"/>
        <w:numPr>
          <w:ilvl w:val="0"/>
          <w:numId w:val="21"/>
        </w:numPr>
        <w:ind w:left="1134" w:right="565" w:hanging="283"/>
        <w:jc w:val="both"/>
        <w:rPr>
          <w:i/>
          <w:sz w:val="20"/>
        </w:rPr>
      </w:pPr>
      <w:r w:rsidRPr="00B850DC">
        <w:rPr>
          <w:i/>
          <w:sz w:val="20"/>
        </w:rPr>
        <w:t>Cambio de cond</w:t>
      </w:r>
      <w:r>
        <w:rPr>
          <w:i/>
          <w:sz w:val="20"/>
        </w:rPr>
        <w:t>iciones de contratación actual.</w:t>
      </w:r>
    </w:p>
    <w:p w14:paraId="7D0EF853" w14:textId="77777777" w:rsidR="00A32642" w:rsidRDefault="00A32642" w:rsidP="00BB14CC">
      <w:pPr>
        <w:pStyle w:val="Prrafodelista"/>
        <w:numPr>
          <w:ilvl w:val="0"/>
          <w:numId w:val="21"/>
        </w:numPr>
        <w:ind w:left="1134" w:right="565" w:hanging="283"/>
        <w:jc w:val="both"/>
        <w:rPr>
          <w:i/>
          <w:sz w:val="20"/>
        </w:rPr>
      </w:pPr>
      <w:r w:rsidRPr="00055BA9">
        <w:rPr>
          <w:i/>
          <w:sz w:val="20"/>
        </w:rPr>
        <w:t xml:space="preserve">Cambio en las cotizaciones actuales. </w:t>
      </w:r>
    </w:p>
    <w:p w14:paraId="0DD1A689" w14:textId="7804CBD5" w:rsidR="00C9026B" w:rsidRDefault="00C9026B" w:rsidP="00FC3EB6">
      <w:pPr>
        <w:ind w:left="426"/>
        <w:jc w:val="both"/>
        <w:rPr>
          <w:bCs/>
          <w:sz w:val="22"/>
          <w:szCs w:val="22"/>
        </w:rPr>
      </w:pPr>
    </w:p>
    <w:p w14:paraId="6B0CB080" w14:textId="7C365160" w:rsidR="00012CC6" w:rsidRDefault="00012CC6" w:rsidP="00FC3EB6">
      <w:pPr>
        <w:ind w:left="426"/>
        <w:jc w:val="both"/>
        <w:rPr>
          <w:bCs/>
          <w:sz w:val="22"/>
          <w:szCs w:val="22"/>
        </w:rPr>
      </w:pPr>
      <w:r>
        <w:rPr>
          <w:b/>
          <w:color w:val="385623" w:themeColor="accent6" w:themeShade="80"/>
          <w:sz w:val="22"/>
        </w:rPr>
        <w:t>Observación</w:t>
      </w:r>
    </w:p>
    <w:p w14:paraId="44A84709" w14:textId="30F27DF0" w:rsidR="00CB56C5" w:rsidRPr="00CB56C5" w:rsidRDefault="00CB56C5" w:rsidP="00CB56C5">
      <w:pPr>
        <w:ind w:left="426"/>
        <w:jc w:val="both"/>
        <w:rPr>
          <w:bCs/>
          <w:sz w:val="22"/>
          <w:szCs w:val="22"/>
        </w:rPr>
      </w:pPr>
      <w:r w:rsidRPr="00CB56C5">
        <w:rPr>
          <w:bCs/>
          <w:sz w:val="22"/>
          <w:szCs w:val="22"/>
        </w:rPr>
        <w:t>De acuerdo con lo anterior, es pertinente analizar la situación evidenciada por la Gerencia Técnica en cuanto al cronograma del proceso de diseños y los requerimientos técnicos, administrativos y financieros adicionales que ocasionen la ampliación del cronograma</w:t>
      </w:r>
      <w:r>
        <w:rPr>
          <w:bCs/>
          <w:sz w:val="22"/>
          <w:szCs w:val="22"/>
        </w:rPr>
        <w:t>.</w:t>
      </w:r>
    </w:p>
    <w:p w14:paraId="4FC7A443" w14:textId="216E7C46" w:rsidR="009C5BA8" w:rsidRDefault="009C5BA8" w:rsidP="00CB56C5">
      <w:pPr>
        <w:jc w:val="both"/>
        <w:rPr>
          <w:bCs/>
          <w:sz w:val="22"/>
          <w:szCs w:val="22"/>
        </w:rPr>
      </w:pPr>
    </w:p>
    <w:p w14:paraId="7C885DA5" w14:textId="77777777" w:rsidR="00012CC6" w:rsidRPr="00371ACF" w:rsidRDefault="00012CC6" w:rsidP="00FC3EB6">
      <w:pPr>
        <w:ind w:left="426"/>
        <w:rPr>
          <w:b/>
          <w:color w:val="385623" w:themeColor="accent6" w:themeShade="80"/>
          <w:sz w:val="22"/>
        </w:rPr>
      </w:pPr>
      <w:r>
        <w:rPr>
          <w:b/>
          <w:color w:val="385623" w:themeColor="accent6" w:themeShade="80"/>
          <w:sz w:val="22"/>
        </w:rPr>
        <w:t>Riesgo</w:t>
      </w:r>
    </w:p>
    <w:p w14:paraId="67B578D8" w14:textId="64FDEED9" w:rsidR="00012CC6" w:rsidRPr="00E1445F" w:rsidRDefault="008F1865" w:rsidP="00FC3EB6">
      <w:pPr>
        <w:ind w:left="426"/>
        <w:jc w:val="both"/>
        <w:rPr>
          <w:bCs/>
          <w:sz w:val="22"/>
          <w:szCs w:val="22"/>
        </w:rPr>
      </w:pPr>
      <w:r w:rsidRPr="00E1445F">
        <w:rPr>
          <w:bCs/>
          <w:sz w:val="22"/>
          <w:szCs w:val="22"/>
        </w:rPr>
        <w:t xml:space="preserve">Incumplimiento o retrasos en la ejecución </w:t>
      </w:r>
      <w:r w:rsidR="00A21405" w:rsidRPr="00E1445F">
        <w:rPr>
          <w:bCs/>
          <w:sz w:val="22"/>
          <w:szCs w:val="22"/>
        </w:rPr>
        <w:t>ocasionado</w:t>
      </w:r>
      <w:r w:rsidRPr="00E1445F">
        <w:rPr>
          <w:bCs/>
          <w:sz w:val="22"/>
          <w:szCs w:val="22"/>
        </w:rPr>
        <w:t xml:space="preserve"> aumentos de los costos y gastos por la ampliación de los términos y plazos</w:t>
      </w:r>
      <w:r w:rsidR="00A21405" w:rsidRPr="00E1445F">
        <w:rPr>
          <w:bCs/>
          <w:sz w:val="22"/>
          <w:szCs w:val="22"/>
        </w:rPr>
        <w:t xml:space="preserve"> del cronograma</w:t>
      </w:r>
      <w:r w:rsidRPr="00E1445F">
        <w:rPr>
          <w:bCs/>
          <w:sz w:val="22"/>
          <w:szCs w:val="22"/>
        </w:rPr>
        <w:t>.</w:t>
      </w:r>
    </w:p>
    <w:p w14:paraId="68D10C5E" w14:textId="7536C975" w:rsidR="00B2799A" w:rsidRDefault="00B2799A" w:rsidP="00FC3EB6">
      <w:pPr>
        <w:ind w:left="426"/>
        <w:jc w:val="both"/>
        <w:rPr>
          <w:bCs/>
          <w:color w:val="FF0000"/>
          <w:sz w:val="22"/>
          <w:szCs w:val="22"/>
        </w:rPr>
      </w:pPr>
    </w:p>
    <w:p w14:paraId="37E9D1BB" w14:textId="77777777" w:rsidR="00012CC6" w:rsidRDefault="00012CC6" w:rsidP="00FC3EB6">
      <w:pPr>
        <w:ind w:left="426"/>
        <w:jc w:val="both"/>
        <w:rPr>
          <w:bCs/>
          <w:color w:val="FF0000"/>
          <w:sz w:val="22"/>
          <w:szCs w:val="22"/>
        </w:rPr>
      </w:pPr>
      <w:r w:rsidRPr="001A5CC5">
        <w:rPr>
          <w:b/>
          <w:color w:val="385623" w:themeColor="accent6" w:themeShade="80"/>
          <w:sz w:val="22"/>
        </w:rPr>
        <w:t>Recomendación</w:t>
      </w:r>
    </w:p>
    <w:p w14:paraId="16BF6E09" w14:textId="7CC0E41A" w:rsidR="00FF02EC" w:rsidRPr="00E1445F" w:rsidRDefault="008F1865" w:rsidP="00FC3EB6">
      <w:pPr>
        <w:ind w:left="426"/>
        <w:jc w:val="both"/>
        <w:rPr>
          <w:bCs/>
          <w:sz w:val="22"/>
          <w:szCs w:val="22"/>
        </w:rPr>
      </w:pPr>
      <w:r w:rsidRPr="00E1445F">
        <w:rPr>
          <w:bCs/>
          <w:sz w:val="22"/>
          <w:szCs w:val="22"/>
        </w:rPr>
        <w:t>Revisar el estado de cumplimiento e identificar las fases del cronograma que presentan dificultades en la ejecución.</w:t>
      </w:r>
    </w:p>
    <w:p w14:paraId="5AE51A79" w14:textId="5879FF62" w:rsidR="008F1865" w:rsidRPr="00E1445F" w:rsidRDefault="008F1865" w:rsidP="00FC3EB6">
      <w:pPr>
        <w:ind w:left="426"/>
        <w:jc w:val="both"/>
        <w:rPr>
          <w:bCs/>
          <w:sz w:val="22"/>
          <w:szCs w:val="22"/>
        </w:rPr>
      </w:pPr>
    </w:p>
    <w:p w14:paraId="5B473009" w14:textId="57424D8F" w:rsidR="008F1865" w:rsidRPr="00E1445F" w:rsidRDefault="008F1865" w:rsidP="00FC3EB6">
      <w:pPr>
        <w:ind w:left="426"/>
        <w:jc w:val="both"/>
        <w:rPr>
          <w:bCs/>
          <w:sz w:val="22"/>
          <w:szCs w:val="22"/>
        </w:rPr>
      </w:pPr>
      <w:r w:rsidRPr="00E1445F">
        <w:rPr>
          <w:bCs/>
          <w:sz w:val="22"/>
          <w:szCs w:val="22"/>
        </w:rPr>
        <w:t>Evaluar el estado de avance del cronograma, para con ello definir las necesidades de ampliación del mismo.</w:t>
      </w:r>
    </w:p>
    <w:p w14:paraId="1299E8C3" w14:textId="7E47A3E6" w:rsidR="00FF02EC" w:rsidRDefault="00FF02EC" w:rsidP="00FC3EB6">
      <w:pPr>
        <w:ind w:left="426"/>
        <w:jc w:val="both"/>
        <w:rPr>
          <w:bCs/>
          <w:color w:val="FF0000"/>
          <w:sz w:val="22"/>
          <w:szCs w:val="22"/>
        </w:rPr>
      </w:pPr>
    </w:p>
    <w:p w14:paraId="7C74C8BF" w14:textId="77777777" w:rsidR="00CB56C5" w:rsidRPr="006C5D16" w:rsidRDefault="00CB56C5" w:rsidP="00CB56C5">
      <w:pPr>
        <w:ind w:left="426"/>
        <w:jc w:val="both"/>
        <w:rPr>
          <w:bCs/>
          <w:sz w:val="22"/>
          <w:szCs w:val="22"/>
        </w:rPr>
      </w:pPr>
      <w:r w:rsidRPr="006C5D16">
        <w:rPr>
          <w:b/>
          <w:color w:val="385623" w:themeColor="accent6" w:themeShade="80"/>
          <w:sz w:val="22"/>
        </w:rPr>
        <w:t xml:space="preserve">Comentarios Administración </w:t>
      </w:r>
    </w:p>
    <w:p w14:paraId="274631A3" w14:textId="365A596E" w:rsidR="00CB56C5" w:rsidRDefault="00CB56C5" w:rsidP="00CB56C5">
      <w:pPr>
        <w:ind w:left="426"/>
        <w:jc w:val="both"/>
        <w:rPr>
          <w:bCs/>
          <w:sz w:val="22"/>
          <w:szCs w:val="22"/>
        </w:rPr>
      </w:pPr>
      <w:r>
        <w:rPr>
          <w:bCs/>
          <w:sz w:val="22"/>
          <w:szCs w:val="22"/>
        </w:rPr>
        <w:t xml:space="preserve">El retraso es de 6 meses, debería estar en estudio de curaduría. </w:t>
      </w:r>
    </w:p>
    <w:p w14:paraId="4325955F" w14:textId="20C18A65" w:rsidR="00CB56C5" w:rsidRPr="00CB56C5" w:rsidRDefault="00CB56C5" w:rsidP="00CB56C5">
      <w:pPr>
        <w:ind w:left="426"/>
        <w:jc w:val="both"/>
        <w:rPr>
          <w:bCs/>
          <w:sz w:val="22"/>
          <w:szCs w:val="22"/>
        </w:rPr>
      </w:pPr>
      <w:r>
        <w:rPr>
          <w:bCs/>
          <w:sz w:val="22"/>
          <w:szCs w:val="22"/>
        </w:rPr>
        <w:t>De acuerdo con la recomendación.</w:t>
      </w:r>
    </w:p>
    <w:p w14:paraId="1D679AC1" w14:textId="77777777" w:rsidR="00CB56C5" w:rsidRDefault="00CB56C5" w:rsidP="00FC3EB6">
      <w:pPr>
        <w:ind w:left="426"/>
        <w:jc w:val="both"/>
        <w:rPr>
          <w:bCs/>
          <w:color w:val="FF0000"/>
          <w:sz w:val="22"/>
          <w:szCs w:val="22"/>
        </w:rPr>
      </w:pPr>
    </w:p>
    <w:p w14:paraId="49E51FAF" w14:textId="77777777" w:rsidR="00CB56C5" w:rsidRDefault="00CB56C5" w:rsidP="00CB56C5">
      <w:pPr>
        <w:pStyle w:val="Prrafodelista"/>
        <w:ind w:left="426"/>
        <w:jc w:val="both"/>
        <w:rPr>
          <w:b/>
          <w:color w:val="385623" w:themeColor="accent6" w:themeShade="80"/>
          <w:sz w:val="22"/>
        </w:rPr>
      </w:pPr>
    </w:p>
    <w:p w14:paraId="0C8F02D4" w14:textId="661B8C60" w:rsidR="006C4FF8" w:rsidRPr="00EB22DA" w:rsidRDefault="006C4FF8" w:rsidP="00EB22DA">
      <w:pPr>
        <w:pStyle w:val="Prrafodelista"/>
        <w:numPr>
          <w:ilvl w:val="0"/>
          <w:numId w:val="50"/>
        </w:numPr>
        <w:ind w:left="426" w:hanging="426"/>
        <w:jc w:val="both"/>
        <w:rPr>
          <w:b/>
          <w:color w:val="385623" w:themeColor="accent6" w:themeShade="80"/>
          <w:sz w:val="22"/>
        </w:rPr>
      </w:pPr>
      <w:r w:rsidRPr="00043DFF">
        <w:rPr>
          <w:b/>
          <w:color w:val="385623" w:themeColor="accent6" w:themeShade="80"/>
          <w:sz w:val="22"/>
        </w:rPr>
        <w:t xml:space="preserve">Documento </w:t>
      </w:r>
      <w:r w:rsidR="0067660C" w:rsidRPr="00043DFF">
        <w:rPr>
          <w:b/>
          <w:color w:val="385623" w:themeColor="accent6" w:themeShade="80"/>
          <w:sz w:val="22"/>
        </w:rPr>
        <w:t>“COMPONENTE ESPACIAL PROYECTO COMPLEJO DE LA SALUD”</w:t>
      </w:r>
      <w:r w:rsidR="00390024" w:rsidRPr="00043DFF">
        <w:rPr>
          <w:b/>
          <w:color w:val="385623" w:themeColor="accent6" w:themeShade="80"/>
          <w:sz w:val="22"/>
        </w:rPr>
        <w:t>,</w:t>
      </w:r>
      <w:r w:rsidR="00390024" w:rsidRPr="00EB22DA">
        <w:rPr>
          <w:b/>
          <w:color w:val="385623" w:themeColor="accent6" w:themeShade="80"/>
          <w:sz w:val="22"/>
        </w:rPr>
        <w:t xml:space="preserve"> </w:t>
      </w:r>
    </w:p>
    <w:p w14:paraId="194FA9CF" w14:textId="77777777" w:rsidR="00BB14CC" w:rsidRDefault="00BB14CC" w:rsidP="00BB14CC">
      <w:pPr>
        <w:ind w:left="426"/>
        <w:jc w:val="both"/>
        <w:rPr>
          <w:bCs/>
          <w:sz w:val="22"/>
          <w:szCs w:val="22"/>
        </w:rPr>
      </w:pPr>
    </w:p>
    <w:p w14:paraId="7F81B07B" w14:textId="6E68CAB2" w:rsidR="006C4FF8" w:rsidRDefault="007526B3" w:rsidP="00BB14CC">
      <w:pPr>
        <w:ind w:left="426"/>
        <w:jc w:val="both"/>
        <w:rPr>
          <w:bCs/>
          <w:sz w:val="22"/>
          <w:szCs w:val="22"/>
        </w:rPr>
      </w:pPr>
      <w:r>
        <w:rPr>
          <w:bCs/>
          <w:sz w:val="22"/>
          <w:szCs w:val="22"/>
        </w:rPr>
        <w:t xml:space="preserve">A </w:t>
      </w:r>
      <w:r w:rsidR="00012CC6">
        <w:rPr>
          <w:bCs/>
          <w:sz w:val="22"/>
          <w:szCs w:val="22"/>
        </w:rPr>
        <w:t>continuación,</w:t>
      </w:r>
      <w:r>
        <w:rPr>
          <w:bCs/>
          <w:sz w:val="22"/>
          <w:szCs w:val="22"/>
        </w:rPr>
        <w:t xml:space="preserve"> se resaltan algunos extractos de las páginas 77 a 85 del documento</w:t>
      </w:r>
      <w:r w:rsidR="00FA3DF3">
        <w:rPr>
          <w:bCs/>
          <w:sz w:val="22"/>
          <w:szCs w:val="22"/>
        </w:rPr>
        <w:t xml:space="preserve"> </w:t>
      </w:r>
      <w:r w:rsidR="00FA3DF3" w:rsidRPr="008F0EC8">
        <w:rPr>
          <w:bCs/>
          <w:sz w:val="22"/>
          <w:szCs w:val="22"/>
        </w:rPr>
        <w:t>fechado julio 5</w:t>
      </w:r>
      <w:r w:rsidR="006C4FF8">
        <w:rPr>
          <w:bCs/>
          <w:sz w:val="22"/>
          <w:szCs w:val="22"/>
        </w:rPr>
        <w:t xml:space="preserve">, </w:t>
      </w:r>
      <w:r>
        <w:rPr>
          <w:bCs/>
          <w:sz w:val="22"/>
          <w:szCs w:val="22"/>
        </w:rPr>
        <w:t xml:space="preserve">correspondientes al </w:t>
      </w:r>
      <w:r w:rsidR="006C4FF8">
        <w:rPr>
          <w:bCs/>
          <w:sz w:val="22"/>
          <w:szCs w:val="22"/>
        </w:rPr>
        <w:t xml:space="preserve">numeral 7.4:  </w:t>
      </w:r>
    </w:p>
    <w:p w14:paraId="48888567" w14:textId="4E36FFDD" w:rsidR="006C4FF8" w:rsidRDefault="006C4FF8" w:rsidP="00FC3EB6">
      <w:pPr>
        <w:ind w:left="709" w:right="474"/>
        <w:jc w:val="both"/>
        <w:rPr>
          <w:bCs/>
          <w:sz w:val="22"/>
          <w:szCs w:val="22"/>
        </w:rPr>
      </w:pPr>
    </w:p>
    <w:p w14:paraId="4609904B" w14:textId="150289E6" w:rsidR="0067660C" w:rsidRPr="001F44F4" w:rsidRDefault="0067660C" w:rsidP="001F44F4">
      <w:pPr>
        <w:ind w:left="709" w:right="333"/>
        <w:jc w:val="both"/>
        <w:rPr>
          <w:i/>
          <w:sz w:val="18"/>
        </w:rPr>
      </w:pPr>
      <w:r w:rsidRPr="001F44F4">
        <w:rPr>
          <w:b/>
          <w:i/>
          <w:sz w:val="18"/>
        </w:rPr>
        <w:t>Contrato CPS-2018-109-, Contrato celebrado entre la UT SM+Síntesis y la CIS</w:t>
      </w:r>
      <w:r w:rsidRPr="001F44F4">
        <w:rPr>
          <w:i/>
          <w:sz w:val="18"/>
        </w:rPr>
        <w:t xml:space="preserve">:  </w:t>
      </w:r>
    </w:p>
    <w:p w14:paraId="77F168CE" w14:textId="1316992A" w:rsidR="0067660C" w:rsidRPr="001F44F4" w:rsidRDefault="0067660C" w:rsidP="001F44F4">
      <w:pPr>
        <w:ind w:left="709" w:right="333"/>
        <w:jc w:val="both"/>
        <w:rPr>
          <w:i/>
          <w:sz w:val="18"/>
        </w:rPr>
      </w:pPr>
      <w:r w:rsidRPr="001F44F4">
        <w:rPr>
          <w:i/>
          <w:sz w:val="18"/>
        </w:rPr>
        <w:t>Objeto: Ejecutar y coordinar los diseños arquitectónicos y urbanísticos y, en caso de existir el acuerdo económico respectivo, los diseños técnicos definitivos</w:t>
      </w:r>
    </w:p>
    <w:p w14:paraId="034EA5B2" w14:textId="64FE9BF9" w:rsidR="0067660C" w:rsidRPr="001F44F4" w:rsidRDefault="0067660C" w:rsidP="001F44F4">
      <w:pPr>
        <w:ind w:left="709" w:right="333"/>
        <w:jc w:val="both"/>
        <w:rPr>
          <w:i/>
          <w:sz w:val="18"/>
        </w:rPr>
      </w:pPr>
      <w:r w:rsidRPr="001F44F4">
        <w:rPr>
          <w:i/>
          <w:sz w:val="18"/>
        </w:rPr>
        <w:t>Valor: El valor es de $3.375.684.519 incluido el IVA</w:t>
      </w:r>
    </w:p>
    <w:p w14:paraId="7B373EB4" w14:textId="314F7494" w:rsidR="0067660C" w:rsidRPr="001F44F4" w:rsidRDefault="0067660C" w:rsidP="001F44F4">
      <w:pPr>
        <w:ind w:left="709" w:right="333"/>
        <w:jc w:val="both"/>
        <w:rPr>
          <w:i/>
          <w:sz w:val="18"/>
        </w:rPr>
      </w:pPr>
      <w:r w:rsidRPr="001F44F4">
        <w:rPr>
          <w:i/>
          <w:sz w:val="18"/>
        </w:rPr>
        <w:t>Plazo: 9 meses, contados desde el Acta de Inicio con fecha del 1 de marzo de 2018, para vencer el 1 de diciembre de 2018.</w:t>
      </w:r>
    </w:p>
    <w:p w14:paraId="116D8392" w14:textId="503819C5" w:rsidR="0067660C" w:rsidRPr="001F44F4" w:rsidRDefault="0067660C" w:rsidP="001F44F4">
      <w:pPr>
        <w:ind w:left="709" w:right="333"/>
        <w:jc w:val="both"/>
        <w:rPr>
          <w:i/>
          <w:sz w:val="18"/>
        </w:rPr>
      </w:pPr>
    </w:p>
    <w:p w14:paraId="315D2C1E" w14:textId="10A9F3D9" w:rsidR="0067660C" w:rsidRPr="001F44F4" w:rsidRDefault="0067660C" w:rsidP="001F44F4">
      <w:pPr>
        <w:ind w:left="709" w:right="333"/>
        <w:jc w:val="both"/>
        <w:rPr>
          <w:i/>
          <w:sz w:val="18"/>
        </w:rPr>
      </w:pPr>
      <w:r w:rsidRPr="001F44F4">
        <w:rPr>
          <w:b/>
          <w:i/>
          <w:sz w:val="18"/>
        </w:rPr>
        <w:t>Los arquitectos están a la espera de una respuesta oficial y</w:t>
      </w:r>
      <w:r w:rsidRPr="001F44F4">
        <w:rPr>
          <w:i/>
          <w:sz w:val="18"/>
        </w:rPr>
        <w:t xml:space="preserve"> </w:t>
      </w:r>
      <w:r w:rsidRPr="001F44F4">
        <w:rPr>
          <w:b/>
          <w:i/>
          <w:sz w:val="18"/>
        </w:rPr>
        <w:t>requieren se de claridad</w:t>
      </w:r>
      <w:r w:rsidRPr="001F44F4">
        <w:rPr>
          <w:i/>
          <w:sz w:val="18"/>
        </w:rPr>
        <w:t xml:space="preserve"> en torno a algunas directrices normativas, técnicas y de cronograma que aplican para el desarrollo del proyecto Complejo de Salud. </w:t>
      </w:r>
    </w:p>
    <w:p w14:paraId="30BFA2AB" w14:textId="62FC757E" w:rsidR="00390024" w:rsidRPr="001F44F4" w:rsidRDefault="00390024" w:rsidP="001F44F4">
      <w:pPr>
        <w:ind w:left="709" w:right="333"/>
        <w:jc w:val="both"/>
        <w:rPr>
          <w:i/>
          <w:sz w:val="18"/>
        </w:rPr>
      </w:pPr>
    </w:p>
    <w:p w14:paraId="5E723797" w14:textId="7AA16594" w:rsidR="0067660C" w:rsidRPr="001F44F4" w:rsidRDefault="0067660C" w:rsidP="001F44F4">
      <w:pPr>
        <w:ind w:left="709" w:right="333"/>
        <w:jc w:val="both"/>
        <w:rPr>
          <w:i/>
          <w:sz w:val="18"/>
        </w:rPr>
      </w:pPr>
      <w:r w:rsidRPr="001F44F4">
        <w:rPr>
          <w:i/>
          <w:sz w:val="18"/>
        </w:rPr>
        <w:t>El acompañamiento que realiza la gerencia técnica a los arquitectos en el proyecto no obvia la responsabilidad de la CIS en lo técnico, administrativo y logístico, que lógicamente debe estar soportado en la Gerencia Técnica. La Universidad delega en la Gerencia Técnica, los procesos técnicos, pero en articulación con la CIS.</w:t>
      </w:r>
    </w:p>
    <w:p w14:paraId="5ECB7AA3" w14:textId="1CC2D1DC" w:rsidR="0067660C" w:rsidRPr="001F44F4" w:rsidRDefault="0067660C" w:rsidP="001F44F4">
      <w:pPr>
        <w:ind w:left="709" w:right="333"/>
        <w:jc w:val="both"/>
        <w:rPr>
          <w:i/>
          <w:sz w:val="18"/>
        </w:rPr>
      </w:pPr>
    </w:p>
    <w:p w14:paraId="3F2CB6CD" w14:textId="1634A556" w:rsidR="0067660C" w:rsidRPr="001F44F4" w:rsidRDefault="0067660C" w:rsidP="001F44F4">
      <w:pPr>
        <w:ind w:left="709" w:right="333"/>
        <w:jc w:val="both"/>
        <w:rPr>
          <w:i/>
          <w:sz w:val="18"/>
        </w:rPr>
      </w:pPr>
      <w:r w:rsidRPr="001F44F4">
        <w:rPr>
          <w:b/>
          <w:i/>
          <w:sz w:val="18"/>
        </w:rPr>
        <w:t>Con gran preocupación</w:t>
      </w:r>
      <w:r w:rsidRPr="001F44F4">
        <w:rPr>
          <w:i/>
          <w:sz w:val="18"/>
        </w:rPr>
        <w:t xml:space="preserve"> se denota demoras en la gestión correspondiente a la CIS, cuya responsabilidad es administrar los recursos tendientes a la adquisición de los estudios y diseños arquitectónicos, urbanísticos y técnicos del denominado Complejo de Salud y que afectan </w:t>
      </w:r>
      <w:r w:rsidRPr="001F44F4">
        <w:rPr>
          <w:b/>
          <w:i/>
          <w:sz w:val="18"/>
        </w:rPr>
        <w:t>gravemente</w:t>
      </w:r>
      <w:r w:rsidRPr="001F44F4">
        <w:rPr>
          <w:i/>
          <w:sz w:val="18"/>
        </w:rPr>
        <w:t xml:space="preserve"> el normal desarrollo del proyecto</w:t>
      </w:r>
    </w:p>
    <w:p w14:paraId="42D04C51" w14:textId="7CB797C0" w:rsidR="00390024" w:rsidRPr="001F44F4" w:rsidRDefault="00390024" w:rsidP="001F44F4">
      <w:pPr>
        <w:ind w:left="709" w:right="333"/>
        <w:jc w:val="both"/>
        <w:rPr>
          <w:i/>
          <w:sz w:val="18"/>
        </w:rPr>
      </w:pPr>
    </w:p>
    <w:p w14:paraId="316DAC6B" w14:textId="4A4578F2" w:rsidR="0067660C" w:rsidRPr="001F44F4" w:rsidRDefault="0067660C" w:rsidP="001F44F4">
      <w:pPr>
        <w:ind w:left="709" w:right="333"/>
        <w:jc w:val="both"/>
        <w:rPr>
          <w:i/>
          <w:sz w:val="18"/>
        </w:rPr>
      </w:pPr>
      <w:r w:rsidRPr="001F44F4">
        <w:rPr>
          <w:i/>
          <w:sz w:val="18"/>
        </w:rPr>
        <w:lastRenderedPageBreak/>
        <w:t xml:space="preserve">El Arquitecto de la Unión Temporal SM + Síntesis, David Cuartas Restrepo, presenta un informe de evaluación de tiempos ejecutados y tiempos dejados de ejecutar por las dificultades en la contratación. </w:t>
      </w:r>
      <w:r w:rsidRPr="001F44F4">
        <w:rPr>
          <w:b/>
          <w:i/>
          <w:sz w:val="18"/>
        </w:rPr>
        <w:t>El mayor retraso</w:t>
      </w:r>
      <w:r w:rsidRPr="001F44F4">
        <w:rPr>
          <w:i/>
          <w:sz w:val="18"/>
        </w:rPr>
        <w:t xml:space="preserve"> en los diseños se deriva de la transición en la administración de la Universidad. </w:t>
      </w:r>
    </w:p>
    <w:p w14:paraId="693BA770" w14:textId="77777777" w:rsidR="00FC3EB6" w:rsidRPr="001F44F4" w:rsidRDefault="00FC3EB6" w:rsidP="001F44F4">
      <w:pPr>
        <w:ind w:left="709" w:right="333"/>
        <w:jc w:val="both"/>
        <w:rPr>
          <w:i/>
          <w:sz w:val="18"/>
        </w:rPr>
      </w:pPr>
    </w:p>
    <w:p w14:paraId="577C4575" w14:textId="55DBB856" w:rsidR="0067660C" w:rsidRPr="001F44F4" w:rsidRDefault="0067660C" w:rsidP="001F44F4">
      <w:pPr>
        <w:ind w:left="709" w:right="333"/>
        <w:jc w:val="both"/>
        <w:rPr>
          <w:i/>
          <w:sz w:val="18"/>
        </w:rPr>
      </w:pPr>
      <w:r w:rsidRPr="001F44F4">
        <w:rPr>
          <w:i/>
          <w:sz w:val="18"/>
        </w:rPr>
        <w:t xml:space="preserve">Para la revisión de los tiempos, si se tiene en cuenta las </w:t>
      </w:r>
      <w:r w:rsidRPr="001F44F4">
        <w:rPr>
          <w:b/>
          <w:i/>
          <w:sz w:val="18"/>
        </w:rPr>
        <w:t>dificultades</w:t>
      </w:r>
      <w:r w:rsidRPr="001F44F4">
        <w:rPr>
          <w:i/>
          <w:sz w:val="18"/>
        </w:rPr>
        <w:t xml:space="preserve"> con los diseños técnicos, se requeriría alrededor de </w:t>
      </w:r>
      <w:r w:rsidRPr="001F44F4">
        <w:rPr>
          <w:b/>
          <w:i/>
          <w:sz w:val="18"/>
        </w:rPr>
        <w:t>cuatro meses más</w:t>
      </w:r>
      <w:r w:rsidRPr="001F44F4">
        <w:rPr>
          <w:i/>
          <w:sz w:val="18"/>
        </w:rPr>
        <w:t xml:space="preserve">, a partir del 26 de diciembre de 2018, fecha en la que se termina la prórroga del Contrato de Mandato con la CIS, lo que traería como consecuencia: </w:t>
      </w:r>
    </w:p>
    <w:p w14:paraId="5581895F" w14:textId="1CFB8700" w:rsidR="0067660C" w:rsidRPr="001F44F4" w:rsidRDefault="0067660C" w:rsidP="001F44F4">
      <w:pPr>
        <w:pStyle w:val="Prrafodelista"/>
        <w:numPr>
          <w:ilvl w:val="0"/>
          <w:numId w:val="21"/>
        </w:numPr>
        <w:ind w:left="709" w:right="333" w:firstLine="0"/>
        <w:jc w:val="both"/>
        <w:rPr>
          <w:i/>
          <w:sz w:val="18"/>
        </w:rPr>
      </w:pPr>
      <w:r w:rsidRPr="001F44F4">
        <w:rPr>
          <w:i/>
          <w:sz w:val="18"/>
        </w:rPr>
        <w:t xml:space="preserve">Cambio de vigencia presupuestal (2019). </w:t>
      </w:r>
    </w:p>
    <w:p w14:paraId="657FE29E" w14:textId="1FE14AD6" w:rsidR="0067660C" w:rsidRPr="001F44F4" w:rsidRDefault="0067660C" w:rsidP="001F44F4">
      <w:pPr>
        <w:pStyle w:val="Prrafodelista"/>
        <w:numPr>
          <w:ilvl w:val="0"/>
          <w:numId w:val="21"/>
        </w:numPr>
        <w:ind w:left="709" w:right="333" w:firstLine="0"/>
        <w:jc w:val="both"/>
        <w:rPr>
          <w:i/>
          <w:sz w:val="18"/>
        </w:rPr>
      </w:pPr>
      <w:r w:rsidRPr="001F44F4">
        <w:rPr>
          <w:i/>
          <w:sz w:val="18"/>
        </w:rPr>
        <w:t>Cambio de condiciones de contratación actual.</w:t>
      </w:r>
    </w:p>
    <w:p w14:paraId="7625B0D2" w14:textId="318C12FA" w:rsidR="0067660C" w:rsidRPr="001F44F4" w:rsidRDefault="0067660C" w:rsidP="001F44F4">
      <w:pPr>
        <w:pStyle w:val="Prrafodelista"/>
        <w:numPr>
          <w:ilvl w:val="0"/>
          <w:numId w:val="21"/>
        </w:numPr>
        <w:ind w:left="709" w:right="333" w:firstLine="0"/>
        <w:jc w:val="both"/>
        <w:rPr>
          <w:i/>
          <w:sz w:val="18"/>
        </w:rPr>
      </w:pPr>
      <w:r w:rsidRPr="001F44F4">
        <w:rPr>
          <w:i/>
          <w:sz w:val="18"/>
        </w:rPr>
        <w:t xml:space="preserve">Cambio en las cotizaciones actuales. </w:t>
      </w:r>
    </w:p>
    <w:p w14:paraId="1EFD57EF" w14:textId="65C0C9E0" w:rsidR="0067660C" w:rsidRPr="001F44F4" w:rsidRDefault="0067660C" w:rsidP="001F44F4">
      <w:pPr>
        <w:ind w:left="709" w:right="333"/>
        <w:jc w:val="both"/>
        <w:rPr>
          <w:i/>
          <w:sz w:val="18"/>
        </w:rPr>
      </w:pPr>
    </w:p>
    <w:p w14:paraId="7823382C" w14:textId="300D7409" w:rsidR="0067660C" w:rsidRPr="001F44F4" w:rsidRDefault="0067660C" w:rsidP="001F44F4">
      <w:pPr>
        <w:ind w:left="709" w:right="333"/>
        <w:jc w:val="both"/>
        <w:rPr>
          <w:i/>
          <w:sz w:val="18"/>
        </w:rPr>
      </w:pPr>
      <w:r w:rsidRPr="001F44F4">
        <w:rPr>
          <w:i/>
          <w:sz w:val="18"/>
        </w:rPr>
        <w:t xml:space="preserve">La UT SM + Síntesis no firma el Acta de Suspensión hasta tanto no se cumplan las siguientes condiciones: </w:t>
      </w:r>
    </w:p>
    <w:p w14:paraId="5CC223F3" w14:textId="77777777" w:rsidR="00FC3EB6" w:rsidRPr="001F44F4" w:rsidRDefault="00FC3EB6" w:rsidP="001F44F4">
      <w:pPr>
        <w:ind w:left="709" w:right="333"/>
        <w:jc w:val="both"/>
        <w:rPr>
          <w:i/>
          <w:sz w:val="18"/>
        </w:rPr>
      </w:pPr>
    </w:p>
    <w:p w14:paraId="4C0CA33B" w14:textId="61F3B05F" w:rsidR="00390024" w:rsidRPr="001F44F4" w:rsidRDefault="0067660C" w:rsidP="001F44F4">
      <w:pPr>
        <w:ind w:left="709" w:right="333"/>
        <w:jc w:val="both"/>
        <w:rPr>
          <w:i/>
          <w:sz w:val="18"/>
        </w:rPr>
      </w:pPr>
      <w:r w:rsidRPr="001F44F4">
        <w:rPr>
          <w:i/>
          <w:sz w:val="18"/>
        </w:rPr>
        <w:t xml:space="preserve">“Que se pague de forma inmediata el importe de la factura 1 del 1 de marzo de 2018 por valor de $1.012.705.356 IVA incluido y que corresponde al primer pago pactado en la cláusula tercera del Contrato. </w:t>
      </w:r>
    </w:p>
    <w:p w14:paraId="2AA12E2C" w14:textId="77777777" w:rsidR="00FC3EB6" w:rsidRPr="001F44F4" w:rsidRDefault="00FC3EB6" w:rsidP="001F44F4">
      <w:pPr>
        <w:ind w:left="709" w:right="333"/>
        <w:jc w:val="both"/>
        <w:rPr>
          <w:i/>
          <w:sz w:val="18"/>
        </w:rPr>
      </w:pPr>
    </w:p>
    <w:p w14:paraId="4EC5C33D" w14:textId="58E37F8D" w:rsidR="0067660C" w:rsidRPr="001F44F4" w:rsidRDefault="0067660C" w:rsidP="001F44F4">
      <w:pPr>
        <w:ind w:left="709" w:right="333"/>
        <w:jc w:val="both"/>
        <w:rPr>
          <w:i/>
          <w:sz w:val="18"/>
        </w:rPr>
      </w:pPr>
      <w:r w:rsidRPr="001F44F4">
        <w:rPr>
          <w:i/>
          <w:sz w:val="18"/>
        </w:rPr>
        <w:t xml:space="preserve">Que se mida de forma conjunta el porcentaje de ejecución actual que ha alcanzado la UT y que en el acta de suspensión se incluya un considerando en el cual se determine que el porcentaje de avance del proyecto a la fecha es del </w:t>
      </w:r>
      <w:r w:rsidRPr="001F44F4">
        <w:rPr>
          <w:b/>
          <w:i/>
          <w:sz w:val="18"/>
        </w:rPr>
        <w:t>cuarenta por ciento (40%),</w:t>
      </w:r>
      <w:r w:rsidRPr="001F44F4">
        <w:rPr>
          <w:i/>
          <w:sz w:val="18"/>
        </w:rPr>
        <w:t xml:space="preserve"> o el que resulte de dicha medición. Para ello, se podrán tomar como base los insumos que se entregarán en la semana del 14 al 18 de mayo.</w:t>
      </w:r>
    </w:p>
    <w:p w14:paraId="4BF290BC" w14:textId="77777777" w:rsidR="00FC3EB6" w:rsidRPr="001F44F4" w:rsidRDefault="00FC3EB6" w:rsidP="001F44F4">
      <w:pPr>
        <w:ind w:left="709" w:right="333"/>
        <w:jc w:val="both"/>
        <w:rPr>
          <w:i/>
          <w:sz w:val="18"/>
        </w:rPr>
      </w:pPr>
    </w:p>
    <w:p w14:paraId="13DFD9CC" w14:textId="0AB7E5AB" w:rsidR="0067660C" w:rsidRPr="001F44F4" w:rsidRDefault="0067660C" w:rsidP="001F44F4">
      <w:pPr>
        <w:ind w:left="709" w:right="333"/>
        <w:jc w:val="both"/>
        <w:rPr>
          <w:i/>
          <w:sz w:val="18"/>
        </w:rPr>
      </w:pPr>
      <w:r w:rsidRPr="001F44F4">
        <w:rPr>
          <w:i/>
          <w:sz w:val="18"/>
        </w:rPr>
        <w:t>Cuando se firma el contrato con los arquitectos, la CIS no se diseña un cronograma de trabajo. En cambio, la Gerencia Técnica, define un cronograma contando los tiempos desde la fecha de inicio del Concurso Arquitectónico. En este cronograma se tenía planeado empezar la construcción en los primeros meses de 2019.</w:t>
      </w:r>
    </w:p>
    <w:p w14:paraId="4EA1DB02" w14:textId="77777777" w:rsidR="0079318E" w:rsidRDefault="0079318E" w:rsidP="00BB14CC">
      <w:pPr>
        <w:ind w:left="426"/>
        <w:jc w:val="both"/>
        <w:rPr>
          <w:b/>
          <w:color w:val="385623" w:themeColor="accent6" w:themeShade="80"/>
          <w:sz w:val="22"/>
        </w:rPr>
      </w:pPr>
    </w:p>
    <w:p w14:paraId="462D1837" w14:textId="6E8A6717" w:rsidR="0079318E" w:rsidRDefault="0079318E" w:rsidP="00BB14CC">
      <w:pPr>
        <w:ind w:left="426"/>
        <w:jc w:val="both"/>
        <w:rPr>
          <w:bCs/>
          <w:sz w:val="22"/>
          <w:szCs w:val="22"/>
        </w:rPr>
      </w:pPr>
      <w:r>
        <w:rPr>
          <w:b/>
          <w:color w:val="385623" w:themeColor="accent6" w:themeShade="80"/>
          <w:sz w:val="22"/>
        </w:rPr>
        <w:t>Observación</w:t>
      </w:r>
    </w:p>
    <w:p w14:paraId="4F782542" w14:textId="6B3BB965" w:rsidR="006C4FF8" w:rsidRDefault="00FA3DF3" w:rsidP="00BB14CC">
      <w:pPr>
        <w:ind w:left="426"/>
        <w:jc w:val="both"/>
        <w:rPr>
          <w:bCs/>
          <w:sz w:val="22"/>
          <w:szCs w:val="22"/>
        </w:rPr>
      </w:pPr>
      <w:r>
        <w:rPr>
          <w:bCs/>
          <w:sz w:val="22"/>
          <w:szCs w:val="22"/>
        </w:rPr>
        <w:t>De acuerdo con</w:t>
      </w:r>
      <w:r w:rsidR="00950565">
        <w:rPr>
          <w:bCs/>
          <w:sz w:val="22"/>
          <w:szCs w:val="22"/>
        </w:rPr>
        <w:t xml:space="preserve"> lo anterior, </w:t>
      </w:r>
      <w:r w:rsidR="00FC3EB6">
        <w:rPr>
          <w:bCs/>
          <w:sz w:val="22"/>
          <w:szCs w:val="22"/>
        </w:rPr>
        <w:t>es</w:t>
      </w:r>
      <w:r w:rsidR="00A32642">
        <w:rPr>
          <w:bCs/>
          <w:sz w:val="22"/>
          <w:szCs w:val="22"/>
        </w:rPr>
        <w:t xml:space="preserve"> </w:t>
      </w:r>
      <w:r w:rsidR="006C4FF8">
        <w:rPr>
          <w:bCs/>
          <w:sz w:val="22"/>
          <w:szCs w:val="22"/>
        </w:rPr>
        <w:t xml:space="preserve">pertinente analizar </w:t>
      </w:r>
      <w:r w:rsidR="00A32642">
        <w:rPr>
          <w:bCs/>
          <w:sz w:val="22"/>
          <w:szCs w:val="22"/>
        </w:rPr>
        <w:t>la situación evidencia</w:t>
      </w:r>
      <w:r w:rsidR="00CC550C">
        <w:rPr>
          <w:bCs/>
          <w:sz w:val="22"/>
          <w:szCs w:val="22"/>
        </w:rPr>
        <w:t>da</w:t>
      </w:r>
      <w:r w:rsidR="00A32642">
        <w:rPr>
          <w:bCs/>
          <w:sz w:val="22"/>
          <w:szCs w:val="22"/>
        </w:rPr>
        <w:t xml:space="preserve"> por la Gerencia Técnica en cuanto </w:t>
      </w:r>
      <w:r w:rsidR="006C4FF8">
        <w:rPr>
          <w:bCs/>
          <w:sz w:val="22"/>
          <w:szCs w:val="22"/>
        </w:rPr>
        <w:t>al</w:t>
      </w:r>
      <w:r w:rsidR="00A32642">
        <w:rPr>
          <w:bCs/>
          <w:sz w:val="22"/>
          <w:szCs w:val="22"/>
        </w:rPr>
        <w:t xml:space="preserve"> cronograma del</w:t>
      </w:r>
      <w:r w:rsidR="006C4FF8">
        <w:rPr>
          <w:bCs/>
          <w:sz w:val="22"/>
          <w:szCs w:val="22"/>
        </w:rPr>
        <w:t xml:space="preserve"> proceso de diseños</w:t>
      </w:r>
      <w:r w:rsidR="00A32642">
        <w:rPr>
          <w:bCs/>
          <w:sz w:val="22"/>
          <w:szCs w:val="22"/>
        </w:rPr>
        <w:t xml:space="preserve"> y los requerimientos técnicos, administrativos y financieros adicionales que ocasionen la ampliación del </w:t>
      </w:r>
      <w:r w:rsidR="004E3353">
        <w:rPr>
          <w:bCs/>
          <w:sz w:val="22"/>
          <w:szCs w:val="22"/>
        </w:rPr>
        <w:t>cronograma.</w:t>
      </w:r>
    </w:p>
    <w:p w14:paraId="4F3A23A7" w14:textId="77777777" w:rsidR="006C4FF8" w:rsidRPr="000A5188" w:rsidRDefault="006C4FF8" w:rsidP="00BB14CC">
      <w:pPr>
        <w:ind w:left="426"/>
        <w:jc w:val="both"/>
        <w:rPr>
          <w:bCs/>
          <w:sz w:val="22"/>
          <w:szCs w:val="22"/>
        </w:rPr>
      </w:pPr>
    </w:p>
    <w:p w14:paraId="10542242" w14:textId="0713C554" w:rsidR="00FC3EB6" w:rsidRDefault="00FC3EB6" w:rsidP="00FC3EB6">
      <w:pPr>
        <w:ind w:left="426"/>
        <w:jc w:val="both"/>
        <w:rPr>
          <w:bCs/>
          <w:sz w:val="22"/>
          <w:szCs w:val="22"/>
        </w:rPr>
      </w:pPr>
      <w:r>
        <w:rPr>
          <w:b/>
          <w:color w:val="385623" w:themeColor="accent6" w:themeShade="80"/>
          <w:sz w:val="22"/>
        </w:rPr>
        <w:t>Riesgo</w:t>
      </w:r>
    </w:p>
    <w:p w14:paraId="492306B7" w14:textId="27EFE554" w:rsidR="006C4FF8" w:rsidRPr="00EB22DA" w:rsidRDefault="00FC3EB6" w:rsidP="00BB14CC">
      <w:pPr>
        <w:ind w:left="426"/>
        <w:jc w:val="both"/>
        <w:rPr>
          <w:bCs/>
          <w:sz w:val="22"/>
          <w:szCs w:val="22"/>
        </w:rPr>
      </w:pPr>
      <w:r w:rsidRPr="00EB22DA">
        <w:rPr>
          <w:bCs/>
          <w:sz w:val="22"/>
          <w:szCs w:val="22"/>
        </w:rPr>
        <w:t>Riesgo financiero, riesgo operativo.</w:t>
      </w:r>
    </w:p>
    <w:p w14:paraId="32B8166B" w14:textId="72203185" w:rsidR="00012CC6" w:rsidRDefault="00012CC6" w:rsidP="00BB14CC">
      <w:pPr>
        <w:ind w:left="426"/>
        <w:jc w:val="both"/>
        <w:rPr>
          <w:b/>
          <w:i/>
          <w:sz w:val="20"/>
        </w:rPr>
      </w:pPr>
    </w:p>
    <w:p w14:paraId="7FCBD0E0" w14:textId="5D310D39" w:rsidR="00FC3EB6" w:rsidRDefault="00FC3EB6" w:rsidP="00FC3EB6">
      <w:pPr>
        <w:ind w:left="426"/>
        <w:jc w:val="both"/>
        <w:rPr>
          <w:bCs/>
          <w:sz w:val="22"/>
          <w:szCs w:val="22"/>
        </w:rPr>
      </w:pPr>
      <w:r>
        <w:rPr>
          <w:b/>
          <w:color w:val="385623" w:themeColor="accent6" w:themeShade="80"/>
          <w:sz w:val="22"/>
        </w:rPr>
        <w:t>Recomendación</w:t>
      </w:r>
    </w:p>
    <w:p w14:paraId="5818BB84" w14:textId="457BC2F2" w:rsidR="00FC3EB6" w:rsidRDefault="00FC3EB6" w:rsidP="00BB14CC">
      <w:pPr>
        <w:ind w:left="426"/>
        <w:jc w:val="both"/>
        <w:rPr>
          <w:bCs/>
          <w:sz w:val="22"/>
          <w:szCs w:val="22"/>
        </w:rPr>
      </w:pPr>
      <w:r>
        <w:rPr>
          <w:bCs/>
          <w:sz w:val="22"/>
          <w:szCs w:val="22"/>
        </w:rPr>
        <w:t>Determinar el estado actual de los asuntos referenciados por la Gerencia Técnica.</w:t>
      </w:r>
    </w:p>
    <w:p w14:paraId="71173513" w14:textId="09060D0D" w:rsidR="00FC3EB6" w:rsidRDefault="00FC3EB6" w:rsidP="00BB14CC">
      <w:pPr>
        <w:ind w:left="426"/>
        <w:jc w:val="both"/>
        <w:rPr>
          <w:bCs/>
          <w:sz w:val="22"/>
          <w:szCs w:val="22"/>
        </w:rPr>
      </w:pPr>
    </w:p>
    <w:p w14:paraId="76DE4B54" w14:textId="77777777" w:rsidR="008F0EC8" w:rsidRPr="006C5D16" w:rsidRDefault="008F0EC8" w:rsidP="008F0EC8">
      <w:pPr>
        <w:ind w:left="426"/>
        <w:jc w:val="both"/>
        <w:rPr>
          <w:bCs/>
          <w:sz w:val="22"/>
          <w:szCs w:val="22"/>
        </w:rPr>
      </w:pPr>
      <w:r w:rsidRPr="006C5D16">
        <w:rPr>
          <w:b/>
          <w:color w:val="385623" w:themeColor="accent6" w:themeShade="80"/>
          <w:sz w:val="22"/>
        </w:rPr>
        <w:t xml:space="preserve">Comentarios Administración </w:t>
      </w:r>
    </w:p>
    <w:p w14:paraId="48FCD904" w14:textId="77777777" w:rsidR="008F0EC8" w:rsidRPr="00CB56C5" w:rsidRDefault="008F0EC8" w:rsidP="008F0EC8">
      <w:pPr>
        <w:ind w:left="426"/>
        <w:jc w:val="both"/>
        <w:rPr>
          <w:bCs/>
          <w:sz w:val="22"/>
          <w:szCs w:val="22"/>
        </w:rPr>
      </w:pPr>
      <w:r w:rsidRPr="00CB56C5">
        <w:rPr>
          <w:bCs/>
          <w:sz w:val="22"/>
          <w:szCs w:val="22"/>
        </w:rPr>
        <w:t>De acuerdo con la recomendación</w:t>
      </w:r>
    </w:p>
    <w:p w14:paraId="482F6A23" w14:textId="77777777" w:rsidR="008F0EC8" w:rsidRPr="00EB22DA" w:rsidRDefault="008F0EC8" w:rsidP="00BB14CC">
      <w:pPr>
        <w:ind w:left="426"/>
        <w:jc w:val="both"/>
        <w:rPr>
          <w:bCs/>
          <w:sz w:val="22"/>
          <w:szCs w:val="22"/>
        </w:rPr>
      </w:pPr>
    </w:p>
    <w:p w14:paraId="53467FC1" w14:textId="32DD4C94" w:rsidR="00FC3EB6" w:rsidRDefault="00FC3EB6" w:rsidP="00BB14CC">
      <w:pPr>
        <w:ind w:left="426"/>
        <w:jc w:val="both"/>
        <w:rPr>
          <w:b/>
          <w:i/>
          <w:sz w:val="20"/>
        </w:rPr>
      </w:pPr>
    </w:p>
    <w:p w14:paraId="1CFFA980" w14:textId="39DE25FD" w:rsidR="002126E6" w:rsidRPr="00D7350E" w:rsidRDefault="002126E6" w:rsidP="00EB22DA">
      <w:pPr>
        <w:pStyle w:val="Prrafodelista"/>
        <w:numPr>
          <w:ilvl w:val="0"/>
          <w:numId w:val="50"/>
        </w:numPr>
        <w:ind w:left="426" w:hanging="426"/>
        <w:jc w:val="both"/>
        <w:rPr>
          <w:b/>
          <w:color w:val="385623" w:themeColor="accent6" w:themeShade="80"/>
          <w:sz w:val="22"/>
        </w:rPr>
      </w:pPr>
      <w:r w:rsidRPr="00D7350E">
        <w:rPr>
          <w:b/>
          <w:color w:val="385623" w:themeColor="accent6" w:themeShade="80"/>
          <w:sz w:val="22"/>
        </w:rPr>
        <w:t>Contrato de prestación de servicios número CPS -2018-175</w:t>
      </w:r>
    </w:p>
    <w:p w14:paraId="41C6A038" w14:textId="77777777" w:rsidR="002126E6" w:rsidRDefault="002126E6" w:rsidP="008F7891">
      <w:pPr>
        <w:jc w:val="both"/>
        <w:rPr>
          <w:b/>
          <w:i/>
          <w:sz w:val="20"/>
        </w:rPr>
      </w:pPr>
    </w:p>
    <w:p w14:paraId="7A087193" w14:textId="6BAF8F8D" w:rsidR="0067660C" w:rsidRPr="001F44F4" w:rsidRDefault="0067660C" w:rsidP="005B5F50">
      <w:pPr>
        <w:ind w:left="709" w:right="333"/>
        <w:jc w:val="both"/>
        <w:rPr>
          <w:i/>
          <w:sz w:val="18"/>
        </w:rPr>
      </w:pPr>
      <w:r w:rsidRPr="001F44F4">
        <w:rPr>
          <w:b/>
          <w:i/>
          <w:sz w:val="18"/>
        </w:rPr>
        <w:t>CONTRATO DE PRESTACIÓN de servicios número CPS -2018-175</w:t>
      </w:r>
      <w:r w:rsidRPr="001F44F4">
        <w:rPr>
          <w:i/>
          <w:sz w:val="18"/>
        </w:rPr>
        <w:t xml:space="preserve"> suscrito entre la CIS Y GEO2 S.A.S.  Para el estudio de Suelos del Complejo de la Salud.  Al 2 de Mayo, en el marco de la suspensión del Contrato de la CIS y GEO2, establecen un avance del 65% entre exploraciones de campo y los ensayos de laboratorio:</w:t>
      </w:r>
    </w:p>
    <w:p w14:paraId="30FA0B51" w14:textId="2406CC00" w:rsidR="0067660C" w:rsidRDefault="0067660C" w:rsidP="0067660C">
      <w:pPr>
        <w:ind w:left="708"/>
        <w:jc w:val="both"/>
        <w:rPr>
          <w:i/>
          <w:sz w:val="20"/>
        </w:rPr>
      </w:pPr>
    </w:p>
    <w:p w14:paraId="36901DF1" w14:textId="29C9FD93" w:rsidR="0079318E" w:rsidRDefault="0079318E" w:rsidP="005B5F50">
      <w:pPr>
        <w:ind w:left="426"/>
        <w:jc w:val="both"/>
        <w:rPr>
          <w:bCs/>
          <w:sz w:val="22"/>
          <w:szCs w:val="22"/>
        </w:rPr>
      </w:pPr>
      <w:r>
        <w:rPr>
          <w:b/>
          <w:color w:val="385623" w:themeColor="accent6" w:themeShade="80"/>
          <w:sz w:val="22"/>
        </w:rPr>
        <w:t>Observación</w:t>
      </w:r>
    </w:p>
    <w:p w14:paraId="372B20BC" w14:textId="70407148" w:rsidR="00950565" w:rsidRDefault="00950565" w:rsidP="005B5F50">
      <w:pPr>
        <w:ind w:left="426"/>
        <w:jc w:val="both"/>
        <w:rPr>
          <w:i/>
          <w:sz w:val="20"/>
        </w:rPr>
      </w:pPr>
      <w:r>
        <w:rPr>
          <w:bCs/>
          <w:sz w:val="22"/>
          <w:szCs w:val="22"/>
        </w:rPr>
        <w:t>De acuerdo a esto, se evidencia que e</w:t>
      </w:r>
      <w:r w:rsidR="00CC550C">
        <w:rPr>
          <w:bCs/>
          <w:sz w:val="22"/>
          <w:szCs w:val="22"/>
        </w:rPr>
        <w:t>l</w:t>
      </w:r>
      <w:r>
        <w:rPr>
          <w:bCs/>
          <w:sz w:val="22"/>
          <w:szCs w:val="22"/>
        </w:rPr>
        <w:t xml:space="preserve"> contrato para la exploración de </w:t>
      </w:r>
      <w:r w:rsidR="00FA3DF3">
        <w:rPr>
          <w:bCs/>
          <w:sz w:val="22"/>
          <w:szCs w:val="22"/>
        </w:rPr>
        <w:t>suelos</w:t>
      </w:r>
      <w:r w:rsidR="00CC550C">
        <w:rPr>
          <w:bCs/>
          <w:sz w:val="22"/>
          <w:szCs w:val="22"/>
        </w:rPr>
        <w:t xml:space="preserve"> </w:t>
      </w:r>
      <w:r w:rsidR="00CC550C" w:rsidRPr="00664A62">
        <w:rPr>
          <w:bCs/>
          <w:sz w:val="22"/>
          <w:szCs w:val="22"/>
        </w:rPr>
        <w:t>presentó una suspensión</w:t>
      </w:r>
      <w:r>
        <w:rPr>
          <w:bCs/>
          <w:sz w:val="22"/>
          <w:szCs w:val="22"/>
        </w:rPr>
        <w:t xml:space="preserve">, lo cual puede </w:t>
      </w:r>
      <w:r w:rsidR="00FF6D8B">
        <w:rPr>
          <w:bCs/>
          <w:sz w:val="22"/>
          <w:szCs w:val="22"/>
        </w:rPr>
        <w:t>generar y aumentar el retraso en la fase de diseños.</w:t>
      </w:r>
    </w:p>
    <w:p w14:paraId="47F13CEE" w14:textId="4729D6B7" w:rsidR="00784038" w:rsidRDefault="00784038" w:rsidP="005B5F50">
      <w:pPr>
        <w:ind w:left="426"/>
        <w:jc w:val="both"/>
        <w:rPr>
          <w:i/>
          <w:sz w:val="20"/>
        </w:rPr>
      </w:pPr>
    </w:p>
    <w:p w14:paraId="1815949B" w14:textId="6880ED04" w:rsidR="00664A62" w:rsidRDefault="00664A62" w:rsidP="005B5F50">
      <w:pPr>
        <w:ind w:left="426"/>
        <w:jc w:val="both"/>
        <w:rPr>
          <w:bCs/>
          <w:sz w:val="22"/>
          <w:szCs w:val="22"/>
        </w:rPr>
      </w:pPr>
      <w:r>
        <w:rPr>
          <w:b/>
          <w:color w:val="385623" w:themeColor="accent6" w:themeShade="80"/>
          <w:sz w:val="22"/>
        </w:rPr>
        <w:t xml:space="preserve">Riesgo </w:t>
      </w:r>
    </w:p>
    <w:p w14:paraId="1171002A" w14:textId="7346BEC7" w:rsidR="009E617B" w:rsidRPr="00EB22DA" w:rsidRDefault="009E617B" w:rsidP="00EB22DA">
      <w:pPr>
        <w:pStyle w:val="Prrafodelista"/>
        <w:numPr>
          <w:ilvl w:val="0"/>
          <w:numId w:val="57"/>
        </w:numPr>
        <w:ind w:left="993" w:hanging="284"/>
        <w:jc w:val="both"/>
        <w:rPr>
          <w:bCs/>
          <w:sz w:val="22"/>
          <w:szCs w:val="22"/>
        </w:rPr>
      </w:pPr>
      <w:r w:rsidRPr="00EB22DA">
        <w:rPr>
          <w:bCs/>
          <w:sz w:val="22"/>
          <w:szCs w:val="22"/>
        </w:rPr>
        <w:t>Insuficiencia</w:t>
      </w:r>
      <w:r w:rsidR="00664A62" w:rsidRPr="00EB22DA">
        <w:rPr>
          <w:bCs/>
          <w:sz w:val="22"/>
          <w:szCs w:val="22"/>
        </w:rPr>
        <w:t xml:space="preserve"> técnica</w:t>
      </w:r>
      <w:r w:rsidRPr="00EB22DA">
        <w:rPr>
          <w:bCs/>
          <w:sz w:val="22"/>
          <w:szCs w:val="22"/>
        </w:rPr>
        <w:t xml:space="preserve"> grave por la no terminación de los estudios de carácter obligatorio</w:t>
      </w:r>
      <w:r w:rsidR="000666B0" w:rsidRPr="00EB22DA">
        <w:rPr>
          <w:bCs/>
          <w:sz w:val="22"/>
          <w:szCs w:val="22"/>
        </w:rPr>
        <w:t>.</w:t>
      </w:r>
    </w:p>
    <w:p w14:paraId="4429DD55" w14:textId="760BDADC" w:rsidR="009E617B" w:rsidRPr="00EB22DA" w:rsidRDefault="009E617B" w:rsidP="00EB22DA">
      <w:pPr>
        <w:pStyle w:val="Prrafodelista"/>
        <w:numPr>
          <w:ilvl w:val="0"/>
          <w:numId w:val="57"/>
        </w:numPr>
        <w:ind w:left="993" w:hanging="284"/>
        <w:jc w:val="both"/>
        <w:rPr>
          <w:bCs/>
          <w:sz w:val="22"/>
          <w:szCs w:val="22"/>
        </w:rPr>
      </w:pPr>
      <w:r w:rsidRPr="00EB22DA">
        <w:rPr>
          <w:bCs/>
          <w:sz w:val="22"/>
          <w:szCs w:val="22"/>
        </w:rPr>
        <w:t>Po</w:t>
      </w:r>
      <w:r w:rsidR="000666B0" w:rsidRPr="00EB22DA">
        <w:rPr>
          <w:bCs/>
          <w:sz w:val="22"/>
          <w:szCs w:val="22"/>
        </w:rPr>
        <w:t>sibles imprecisiones en el cost</w:t>
      </w:r>
      <w:r w:rsidRPr="00EB22DA">
        <w:rPr>
          <w:bCs/>
          <w:sz w:val="22"/>
          <w:szCs w:val="22"/>
        </w:rPr>
        <w:t>o</w:t>
      </w:r>
      <w:r w:rsidR="000666B0" w:rsidRPr="00EB22DA">
        <w:rPr>
          <w:bCs/>
          <w:sz w:val="22"/>
          <w:szCs w:val="22"/>
        </w:rPr>
        <w:t xml:space="preserve"> final del proyecto.</w:t>
      </w:r>
      <w:r w:rsidRPr="00EB22DA">
        <w:rPr>
          <w:bCs/>
          <w:sz w:val="22"/>
          <w:szCs w:val="22"/>
        </w:rPr>
        <w:t xml:space="preserve"> </w:t>
      </w:r>
    </w:p>
    <w:p w14:paraId="15C13416" w14:textId="31FD9399" w:rsidR="008F4D2D" w:rsidRPr="00EB22DA" w:rsidRDefault="008F4D2D" w:rsidP="00EB22DA">
      <w:pPr>
        <w:pStyle w:val="Prrafodelista"/>
        <w:numPr>
          <w:ilvl w:val="0"/>
          <w:numId w:val="57"/>
        </w:numPr>
        <w:ind w:left="993" w:hanging="284"/>
        <w:jc w:val="both"/>
        <w:rPr>
          <w:bCs/>
          <w:sz w:val="22"/>
          <w:szCs w:val="22"/>
        </w:rPr>
      </w:pPr>
      <w:r w:rsidRPr="00EB22DA">
        <w:rPr>
          <w:bCs/>
          <w:sz w:val="22"/>
          <w:szCs w:val="22"/>
        </w:rPr>
        <w:t>No reactivar el estudio de suelos puede impactar la ampliación de la fase de diseños, impactando las etapas posteriores, tanto en el componente técnico como el cronograma.</w:t>
      </w:r>
    </w:p>
    <w:p w14:paraId="330F8FC0" w14:textId="6D9F1EE1" w:rsidR="000666B0" w:rsidRDefault="000666B0" w:rsidP="005B5F50">
      <w:pPr>
        <w:ind w:left="426"/>
        <w:jc w:val="both"/>
        <w:rPr>
          <w:bCs/>
          <w:sz w:val="22"/>
          <w:szCs w:val="22"/>
        </w:rPr>
      </w:pPr>
    </w:p>
    <w:p w14:paraId="0C709DA5" w14:textId="77777777" w:rsidR="008F0EC8" w:rsidRPr="00664A62" w:rsidRDefault="008F0EC8" w:rsidP="005B5F50">
      <w:pPr>
        <w:ind w:left="426"/>
        <w:jc w:val="both"/>
        <w:rPr>
          <w:bCs/>
          <w:sz w:val="22"/>
          <w:szCs w:val="22"/>
        </w:rPr>
      </w:pPr>
    </w:p>
    <w:p w14:paraId="02CD4CF6" w14:textId="777285B8" w:rsidR="00664A62" w:rsidRDefault="008F4D2D" w:rsidP="005B5F50">
      <w:pPr>
        <w:ind w:left="426"/>
        <w:jc w:val="both"/>
        <w:rPr>
          <w:bCs/>
          <w:sz w:val="22"/>
          <w:szCs w:val="22"/>
        </w:rPr>
      </w:pPr>
      <w:r>
        <w:rPr>
          <w:b/>
          <w:color w:val="385623" w:themeColor="accent6" w:themeShade="80"/>
          <w:sz w:val="22"/>
        </w:rPr>
        <w:lastRenderedPageBreak/>
        <w:t>Recomenda</w:t>
      </w:r>
      <w:r w:rsidR="00664A62">
        <w:rPr>
          <w:b/>
          <w:color w:val="385623" w:themeColor="accent6" w:themeShade="80"/>
          <w:sz w:val="22"/>
        </w:rPr>
        <w:t>ción</w:t>
      </w:r>
    </w:p>
    <w:p w14:paraId="7CD5616A" w14:textId="13C8FC08" w:rsidR="00AC7D7D" w:rsidRPr="00AC7D7D" w:rsidRDefault="00AC7D7D" w:rsidP="005B5F50">
      <w:pPr>
        <w:ind w:left="426"/>
        <w:jc w:val="both"/>
        <w:rPr>
          <w:bCs/>
          <w:sz w:val="22"/>
          <w:szCs w:val="22"/>
        </w:rPr>
      </w:pPr>
      <w:r w:rsidRPr="00AC7D7D">
        <w:rPr>
          <w:bCs/>
          <w:sz w:val="22"/>
          <w:szCs w:val="22"/>
        </w:rPr>
        <w:t>Evaluar la necesidad de reactivar el estudio de suelos dado que constituye un insumo para la fase de diseño.</w:t>
      </w:r>
    </w:p>
    <w:p w14:paraId="459F7AB2" w14:textId="3AEEAFC1" w:rsidR="00664A62" w:rsidRDefault="00664A62" w:rsidP="00EB22DA">
      <w:pPr>
        <w:ind w:left="426"/>
        <w:jc w:val="both"/>
        <w:rPr>
          <w:bCs/>
          <w:sz w:val="22"/>
          <w:szCs w:val="22"/>
        </w:rPr>
      </w:pPr>
    </w:p>
    <w:p w14:paraId="32ADE473" w14:textId="77777777" w:rsidR="008F0EC8" w:rsidRPr="006C5D16" w:rsidRDefault="008F0EC8" w:rsidP="008F0EC8">
      <w:pPr>
        <w:ind w:left="426"/>
        <w:jc w:val="both"/>
        <w:rPr>
          <w:bCs/>
          <w:sz w:val="22"/>
          <w:szCs w:val="22"/>
        </w:rPr>
      </w:pPr>
      <w:r w:rsidRPr="006C5D16">
        <w:rPr>
          <w:b/>
          <w:color w:val="385623" w:themeColor="accent6" w:themeShade="80"/>
          <w:sz w:val="22"/>
        </w:rPr>
        <w:t xml:space="preserve">Comentarios Administración </w:t>
      </w:r>
    </w:p>
    <w:p w14:paraId="71D94312" w14:textId="67BA68CF" w:rsidR="008F0EC8" w:rsidRDefault="008F0EC8" w:rsidP="00EB22DA">
      <w:pPr>
        <w:ind w:left="426"/>
        <w:jc w:val="both"/>
        <w:rPr>
          <w:bCs/>
          <w:sz w:val="22"/>
          <w:szCs w:val="22"/>
        </w:rPr>
      </w:pPr>
      <w:r>
        <w:rPr>
          <w:bCs/>
          <w:sz w:val="22"/>
          <w:szCs w:val="22"/>
        </w:rPr>
        <w:t>Se debe aclarar el valor del contrato ($60 millones) y el valor pagado ($90 millones).</w:t>
      </w:r>
      <w:r w:rsidR="009B1587">
        <w:rPr>
          <w:bCs/>
          <w:sz w:val="22"/>
          <w:szCs w:val="22"/>
        </w:rPr>
        <w:t xml:space="preserve"> </w:t>
      </w:r>
      <w:r w:rsidR="009B1587" w:rsidRPr="009B1587">
        <w:rPr>
          <w:bCs/>
          <w:sz w:val="22"/>
          <w:szCs w:val="22"/>
        </w:rPr>
        <w:t>Se terminó exploración, está pendiente el informe</w:t>
      </w:r>
      <w:r w:rsidR="009B1587">
        <w:rPr>
          <w:bCs/>
          <w:sz w:val="22"/>
          <w:szCs w:val="22"/>
        </w:rPr>
        <w:t xml:space="preserve"> final.</w:t>
      </w:r>
    </w:p>
    <w:p w14:paraId="583E5691" w14:textId="77777777" w:rsidR="008F0EC8" w:rsidRPr="00EB22DA" w:rsidRDefault="008F0EC8" w:rsidP="00EB22DA">
      <w:pPr>
        <w:ind w:left="426"/>
        <w:jc w:val="both"/>
        <w:rPr>
          <w:bCs/>
          <w:sz w:val="22"/>
          <w:szCs w:val="22"/>
        </w:rPr>
      </w:pPr>
    </w:p>
    <w:p w14:paraId="30E3A13B" w14:textId="77777777" w:rsidR="009E617B" w:rsidRPr="00EB22DA" w:rsidRDefault="009E617B" w:rsidP="00EB22DA">
      <w:pPr>
        <w:ind w:left="426"/>
        <w:jc w:val="both"/>
        <w:rPr>
          <w:bCs/>
          <w:sz w:val="22"/>
          <w:szCs w:val="22"/>
        </w:rPr>
      </w:pPr>
    </w:p>
    <w:p w14:paraId="545CAD80" w14:textId="58B7DF64" w:rsidR="00EC0019" w:rsidRDefault="00EC0019" w:rsidP="00EB22DA">
      <w:pPr>
        <w:pStyle w:val="Prrafodelista"/>
        <w:numPr>
          <w:ilvl w:val="0"/>
          <w:numId w:val="50"/>
        </w:numPr>
        <w:ind w:left="426" w:hanging="426"/>
        <w:jc w:val="both"/>
        <w:rPr>
          <w:b/>
          <w:color w:val="385623" w:themeColor="accent6" w:themeShade="80"/>
          <w:sz w:val="22"/>
        </w:rPr>
      </w:pPr>
      <w:r w:rsidRPr="00EC0019">
        <w:rPr>
          <w:b/>
          <w:color w:val="385623" w:themeColor="accent6" w:themeShade="80"/>
          <w:sz w:val="22"/>
        </w:rPr>
        <w:t>Otras comunicaciones del Proyecto</w:t>
      </w:r>
    </w:p>
    <w:p w14:paraId="2101D62C" w14:textId="77777777" w:rsidR="00C66334" w:rsidRDefault="00C66334" w:rsidP="00EB22DA">
      <w:pPr>
        <w:pStyle w:val="Prrafodelista"/>
        <w:ind w:left="426"/>
        <w:jc w:val="both"/>
        <w:rPr>
          <w:b/>
          <w:color w:val="385623" w:themeColor="accent6" w:themeShade="80"/>
          <w:sz w:val="22"/>
        </w:rPr>
      </w:pPr>
    </w:p>
    <w:p w14:paraId="2F3BFDB1" w14:textId="281A5F66" w:rsidR="00EC0019" w:rsidRPr="00EC0019" w:rsidRDefault="00EC0019" w:rsidP="00C66334">
      <w:pPr>
        <w:pStyle w:val="Prrafodelista"/>
        <w:numPr>
          <w:ilvl w:val="0"/>
          <w:numId w:val="29"/>
        </w:numPr>
        <w:ind w:right="565" w:hanging="294"/>
        <w:jc w:val="both"/>
        <w:rPr>
          <w:bCs/>
          <w:sz w:val="22"/>
          <w:szCs w:val="22"/>
        </w:rPr>
      </w:pPr>
      <w:r w:rsidRPr="00EC0019">
        <w:rPr>
          <w:bCs/>
          <w:sz w:val="22"/>
          <w:szCs w:val="22"/>
        </w:rPr>
        <w:t xml:space="preserve">Documento Componente </w:t>
      </w:r>
      <w:r w:rsidRPr="00EB22DA">
        <w:rPr>
          <w:bCs/>
          <w:sz w:val="22"/>
          <w:szCs w:val="22"/>
        </w:rPr>
        <w:t>espacial</w:t>
      </w:r>
      <w:r w:rsidRPr="00EC0019">
        <w:rPr>
          <w:bCs/>
          <w:sz w:val="22"/>
          <w:szCs w:val="22"/>
        </w:rPr>
        <w:t xml:space="preserve"> proyecto Complejo de la Salud” </w:t>
      </w:r>
      <w:r w:rsidR="00CC550C" w:rsidRPr="00EC0019">
        <w:rPr>
          <w:bCs/>
          <w:sz w:val="22"/>
          <w:szCs w:val="22"/>
        </w:rPr>
        <w:t>pág.</w:t>
      </w:r>
      <w:r w:rsidRPr="00EC0019">
        <w:rPr>
          <w:bCs/>
          <w:sz w:val="22"/>
          <w:szCs w:val="22"/>
        </w:rPr>
        <w:t xml:space="preserve"> 73:</w:t>
      </w:r>
    </w:p>
    <w:p w14:paraId="2B802E78" w14:textId="6095C0B7" w:rsidR="00EC0019" w:rsidRPr="001F44F4" w:rsidRDefault="00EC0019" w:rsidP="00DA4F24">
      <w:pPr>
        <w:ind w:left="993" w:right="333"/>
        <w:jc w:val="both"/>
        <w:rPr>
          <w:i/>
          <w:sz w:val="18"/>
        </w:rPr>
      </w:pPr>
      <w:r w:rsidRPr="001F44F4">
        <w:rPr>
          <w:i/>
          <w:sz w:val="18"/>
        </w:rPr>
        <w:t xml:space="preserve">La Corporación Interuniversitaria de Servicios, CIS, como administradora del Contrato de Mandato, </w:t>
      </w:r>
      <w:r w:rsidRPr="001F44F4">
        <w:rPr>
          <w:b/>
          <w:i/>
          <w:sz w:val="18"/>
        </w:rPr>
        <w:t>debe proponer a la Universidad de Antioquia, la ampliación del Cronograma,</w:t>
      </w:r>
      <w:r w:rsidRPr="001F44F4">
        <w:rPr>
          <w:i/>
          <w:sz w:val="18"/>
        </w:rPr>
        <w:t xml:space="preserve"> cuyos retrasos por situaciones administrativas, derivadas del análisis a profundidad del proyecto por parte de la administración central, y de la decisión de las Unidades Académicas de no avalar, la continuidad del proceso de diseño, hasta tanto no se resuelva por parte de las Directivas Universitarias que va a pasar con el proyecto, de acuerdo con comunicación enviada al Señor Rector en Junio 25 de 2018, por parte de Decanos y Directores del Área de la Salud, con excepción del Decano de la Facultad Nacional de Salud Pública, afecta los tiempos del Contrato para los diseños arquitectónicos y técnicos y conlleva riesgos, por cambio de vigencia presupuestal(2019); cambio de condiciones de contratación y cambio de cotizaciones actuales.</w:t>
      </w:r>
    </w:p>
    <w:p w14:paraId="1B39C067" w14:textId="19E7CD24" w:rsidR="00EC0019" w:rsidRPr="00EC0019" w:rsidRDefault="00EC0019" w:rsidP="00EC0019">
      <w:pPr>
        <w:jc w:val="both"/>
        <w:rPr>
          <w:sz w:val="22"/>
          <w:szCs w:val="22"/>
        </w:rPr>
      </w:pPr>
    </w:p>
    <w:p w14:paraId="1196EA3D" w14:textId="4F47C7DD" w:rsidR="00EC0019" w:rsidRPr="00EC0019" w:rsidRDefault="00EC0019" w:rsidP="008D602A">
      <w:pPr>
        <w:pStyle w:val="Prrafodelista"/>
        <w:numPr>
          <w:ilvl w:val="0"/>
          <w:numId w:val="29"/>
        </w:numPr>
        <w:ind w:hanging="294"/>
        <w:jc w:val="both"/>
        <w:rPr>
          <w:sz w:val="22"/>
          <w:szCs w:val="22"/>
        </w:rPr>
      </w:pPr>
      <w:r w:rsidRPr="00EC0019">
        <w:rPr>
          <w:sz w:val="22"/>
          <w:szCs w:val="22"/>
        </w:rPr>
        <w:t xml:space="preserve">El documento Informe de gestión #17 </w:t>
      </w:r>
      <w:r w:rsidR="00FA3DF3">
        <w:rPr>
          <w:sz w:val="22"/>
          <w:szCs w:val="22"/>
        </w:rPr>
        <w:t xml:space="preserve">de </w:t>
      </w:r>
      <w:r w:rsidR="00C66334" w:rsidRPr="00EC0019">
        <w:rPr>
          <w:sz w:val="22"/>
          <w:szCs w:val="22"/>
        </w:rPr>
        <w:t xml:space="preserve"> </w:t>
      </w:r>
      <w:r w:rsidRPr="00EC0019">
        <w:rPr>
          <w:sz w:val="22"/>
          <w:szCs w:val="22"/>
        </w:rPr>
        <w:t>julio 5 2018, hace un recuento pormenorizado de los hechos del proceso administrativo del desarrollo del proyecto.  Respecto a los actos administrativos es importante resaltar el siguiente acápite:</w:t>
      </w:r>
    </w:p>
    <w:p w14:paraId="65A4F030" w14:textId="21421D59" w:rsidR="00EC0019" w:rsidRPr="00EC0019" w:rsidRDefault="00EC0019" w:rsidP="00EC0019">
      <w:pPr>
        <w:pStyle w:val="Default"/>
        <w:ind w:left="708"/>
        <w:jc w:val="both"/>
        <w:rPr>
          <w:b/>
          <w:bCs/>
          <w:sz w:val="20"/>
          <w:szCs w:val="20"/>
        </w:rPr>
      </w:pPr>
    </w:p>
    <w:p w14:paraId="73E51AF5" w14:textId="77777777" w:rsidR="00973396" w:rsidRPr="001F44F4" w:rsidRDefault="00EC0019" w:rsidP="00FE5A4E">
      <w:pPr>
        <w:pStyle w:val="Default"/>
        <w:ind w:left="993" w:right="333"/>
        <w:jc w:val="both"/>
        <w:rPr>
          <w:rFonts w:ascii="Times New Roman" w:hAnsi="Times New Roman" w:cs="Times New Roman"/>
          <w:i/>
          <w:sz w:val="18"/>
          <w:szCs w:val="20"/>
        </w:rPr>
      </w:pPr>
      <w:r w:rsidRPr="001F44F4">
        <w:rPr>
          <w:rFonts w:ascii="Times New Roman" w:hAnsi="Times New Roman" w:cs="Times New Roman"/>
          <w:b/>
          <w:bCs/>
          <w:sz w:val="18"/>
          <w:szCs w:val="20"/>
        </w:rPr>
        <w:t>“</w:t>
      </w:r>
      <w:r w:rsidRPr="001F44F4">
        <w:rPr>
          <w:rFonts w:ascii="Times New Roman" w:hAnsi="Times New Roman" w:cs="Times New Roman"/>
          <w:b/>
          <w:bCs/>
          <w:i/>
          <w:sz w:val="18"/>
          <w:szCs w:val="20"/>
        </w:rPr>
        <w:t xml:space="preserve">El 4 de mayo de 2018 </w:t>
      </w:r>
      <w:r w:rsidRPr="001F44F4">
        <w:rPr>
          <w:rFonts w:ascii="Times New Roman" w:hAnsi="Times New Roman" w:cs="Times New Roman"/>
          <w:i/>
          <w:sz w:val="18"/>
          <w:szCs w:val="20"/>
        </w:rPr>
        <w:t>se recibió información de Ana Maria Gutiérrez, en calidad de Interventora del contrato CIS – UdeA, con remisión de la comunicación de la Corporación Interuniversitaria de Servicios - CIS, con respecto a la solicitud de la Universidad de Antioquia, fechada el 30 de abril de 2018 y firmada por Ramón Javier Mesa Callejas, Vicerrector Administrativo; de suspender de manera inmediata el Contrato de Mandato No. 10410037-003-2017 y los derivados de él.</w:t>
      </w:r>
      <w:r w:rsidR="00A37B5B" w:rsidRPr="001F44F4">
        <w:rPr>
          <w:rFonts w:ascii="Times New Roman" w:hAnsi="Times New Roman" w:cs="Times New Roman"/>
          <w:i/>
          <w:sz w:val="18"/>
          <w:szCs w:val="20"/>
        </w:rPr>
        <w:t>”</w:t>
      </w:r>
      <w:r w:rsidR="00FF5D6B" w:rsidRPr="001F44F4">
        <w:rPr>
          <w:rFonts w:ascii="Times New Roman" w:hAnsi="Times New Roman" w:cs="Times New Roman"/>
          <w:i/>
          <w:sz w:val="18"/>
          <w:szCs w:val="20"/>
        </w:rPr>
        <w:t xml:space="preserve"> </w:t>
      </w:r>
    </w:p>
    <w:p w14:paraId="42CCFF8A" w14:textId="77777777" w:rsidR="00973396" w:rsidRDefault="00973396" w:rsidP="00FE5A4E">
      <w:pPr>
        <w:pStyle w:val="Default"/>
        <w:ind w:left="993" w:right="333"/>
        <w:jc w:val="both"/>
        <w:rPr>
          <w:rFonts w:ascii="Times New Roman" w:hAnsi="Times New Roman" w:cs="Times New Roman"/>
          <w:sz w:val="20"/>
          <w:szCs w:val="20"/>
        </w:rPr>
      </w:pPr>
    </w:p>
    <w:p w14:paraId="115845F2" w14:textId="2AC0EED9" w:rsidR="00EC0019" w:rsidRPr="00646FE9" w:rsidRDefault="00FF5D6B" w:rsidP="00FE5A4E">
      <w:pPr>
        <w:pStyle w:val="Default"/>
        <w:ind w:left="993" w:right="333"/>
        <w:jc w:val="both"/>
        <w:rPr>
          <w:rFonts w:ascii="Times New Roman" w:hAnsi="Times New Roman" w:cs="Times New Roman"/>
          <w:i/>
          <w:sz w:val="22"/>
          <w:szCs w:val="20"/>
        </w:rPr>
      </w:pPr>
      <w:r w:rsidRPr="00646FE9">
        <w:rPr>
          <w:rFonts w:ascii="Times New Roman" w:hAnsi="Times New Roman" w:cs="Times New Roman"/>
          <w:sz w:val="22"/>
          <w:szCs w:val="20"/>
        </w:rPr>
        <w:t>Al final p</w:t>
      </w:r>
      <w:r w:rsidR="00A37B5B" w:rsidRPr="00646FE9">
        <w:rPr>
          <w:rFonts w:ascii="Times New Roman" w:hAnsi="Times New Roman" w:cs="Times New Roman"/>
          <w:sz w:val="22"/>
          <w:szCs w:val="20"/>
        </w:rPr>
        <w:t>resenta una n</w:t>
      </w:r>
      <w:r w:rsidR="00EC0019" w:rsidRPr="00646FE9">
        <w:rPr>
          <w:rFonts w:ascii="Times New Roman" w:hAnsi="Times New Roman" w:cs="Times New Roman"/>
          <w:sz w:val="22"/>
          <w:szCs w:val="20"/>
        </w:rPr>
        <w:t>ota</w:t>
      </w:r>
      <w:r w:rsidRPr="00646FE9">
        <w:rPr>
          <w:rFonts w:ascii="Times New Roman" w:hAnsi="Times New Roman" w:cs="Times New Roman"/>
          <w:sz w:val="22"/>
          <w:szCs w:val="20"/>
        </w:rPr>
        <w:t xml:space="preserve"> </w:t>
      </w:r>
      <w:r w:rsidR="00A37B5B" w:rsidRPr="00646FE9">
        <w:rPr>
          <w:rFonts w:ascii="Times New Roman" w:hAnsi="Times New Roman" w:cs="Times New Roman"/>
          <w:sz w:val="22"/>
          <w:szCs w:val="20"/>
        </w:rPr>
        <w:t>menciona</w:t>
      </w:r>
      <w:r w:rsidRPr="00646FE9">
        <w:rPr>
          <w:rFonts w:ascii="Times New Roman" w:hAnsi="Times New Roman" w:cs="Times New Roman"/>
          <w:sz w:val="22"/>
          <w:szCs w:val="20"/>
        </w:rPr>
        <w:t>ndo</w:t>
      </w:r>
      <w:r w:rsidR="00A37B5B" w:rsidRPr="00646FE9">
        <w:rPr>
          <w:rFonts w:ascii="Times New Roman" w:hAnsi="Times New Roman" w:cs="Times New Roman"/>
          <w:sz w:val="22"/>
          <w:szCs w:val="20"/>
        </w:rPr>
        <w:t xml:space="preserve"> </w:t>
      </w:r>
      <w:r w:rsidR="00664A62" w:rsidRPr="00646FE9">
        <w:rPr>
          <w:rFonts w:ascii="Times New Roman" w:hAnsi="Times New Roman" w:cs="Times New Roman"/>
          <w:sz w:val="22"/>
          <w:szCs w:val="20"/>
        </w:rPr>
        <w:t>que,</w:t>
      </w:r>
      <w:r w:rsidR="00A37B5B" w:rsidRPr="00646FE9">
        <w:rPr>
          <w:rFonts w:ascii="Times New Roman" w:hAnsi="Times New Roman" w:cs="Times New Roman"/>
          <w:sz w:val="22"/>
          <w:szCs w:val="20"/>
        </w:rPr>
        <w:t xml:space="preserve"> a </w:t>
      </w:r>
      <w:r w:rsidR="00EC0019" w:rsidRPr="00646FE9">
        <w:rPr>
          <w:rFonts w:ascii="Times New Roman" w:hAnsi="Times New Roman" w:cs="Times New Roman"/>
          <w:sz w:val="22"/>
          <w:szCs w:val="20"/>
        </w:rPr>
        <w:t>junio 30 de 2018</w:t>
      </w:r>
      <w:r w:rsidR="00A37B5B" w:rsidRPr="00646FE9">
        <w:rPr>
          <w:rFonts w:ascii="Times New Roman" w:hAnsi="Times New Roman" w:cs="Times New Roman"/>
          <w:sz w:val="22"/>
          <w:szCs w:val="20"/>
        </w:rPr>
        <w:t xml:space="preserve">, </w:t>
      </w:r>
      <w:r w:rsidR="00EC0019" w:rsidRPr="00646FE9">
        <w:rPr>
          <w:rFonts w:ascii="Times New Roman" w:hAnsi="Times New Roman" w:cs="Times New Roman"/>
          <w:sz w:val="22"/>
          <w:szCs w:val="20"/>
        </w:rPr>
        <w:t xml:space="preserve">no se </w:t>
      </w:r>
      <w:r w:rsidR="00A37B5B" w:rsidRPr="00646FE9">
        <w:rPr>
          <w:rFonts w:ascii="Times New Roman" w:hAnsi="Times New Roman" w:cs="Times New Roman"/>
          <w:sz w:val="22"/>
          <w:szCs w:val="20"/>
        </w:rPr>
        <w:t>había</w:t>
      </w:r>
      <w:r w:rsidR="00EC0019" w:rsidRPr="00646FE9">
        <w:rPr>
          <w:rFonts w:ascii="Times New Roman" w:hAnsi="Times New Roman" w:cs="Times New Roman"/>
          <w:sz w:val="22"/>
          <w:szCs w:val="20"/>
        </w:rPr>
        <w:t xml:space="preserve"> firmado el Acta de Suspensión</w:t>
      </w:r>
      <w:r w:rsidR="00A37B5B" w:rsidRPr="00646FE9">
        <w:rPr>
          <w:rFonts w:ascii="Times New Roman" w:hAnsi="Times New Roman" w:cs="Times New Roman"/>
          <w:sz w:val="22"/>
          <w:szCs w:val="20"/>
        </w:rPr>
        <w:t xml:space="preserve"> y plantea la necesidad de </w:t>
      </w:r>
      <w:r w:rsidR="00EC0019" w:rsidRPr="00646FE9">
        <w:rPr>
          <w:rFonts w:ascii="Times New Roman" w:hAnsi="Times New Roman" w:cs="Times New Roman"/>
          <w:sz w:val="22"/>
          <w:szCs w:val="20"/>
        </w:rPr>
        <w:t>revisar si aplica en virtud de la prórroga</w:t>
      </w:r>
      <w:r w:rsidR="00A37B5B" w:rsidRPr="00646FE9">
        <w:rPr>
          <w:rFonts w:ascii="Times New Roman" w:hAnsi="Times New Roman" w:cs="Times New Roman"/>
          <w:i/>
          <w:sz w:val="22"/>
          <w:szCs w:val="20"/>
        </w:rPr>
        <w:t>.</w:t>
      </w:r>
    </w:p>
    <w:p w14:paraId="0A7EEEF2" w14:textId="3A449D12" w:rsidR="00EC0019" w:rsidRDefault="00EC0019" w:rsidP="00EC0019">
      <w:pPr>
        <w:ind w:left="709" w:right="565"/>
        <w:jc w:val="both"/>
        <w:rPr>
          <w:i/>
          <w:sz w:val="20"/>
          <w:szCs w:val="20"/>
        </w:rPr>
      </w:pPr>
    </w:p>
    <w:p w14:paraId="16E02C41" w14:textId="36C82906" w:rsidR="00EC0019" w:rsidRDefault="00EC0019" w:rsidP="008D602A">
      <w:pPr>
        <w:pStyle w:val="Prrafodelista"/>
        <w:numPr>
          <w:ilvl w:val="0"/>
          <w:numId w:val="29"/>
        </w:numPr>
        <w:ind w:hanging="294"/>
        <w:jc w:val="both"/>
        <w:rPr>
          <w:sz w:val="22"/>
        </w:rPr>
      </w:pPr>
      <w:r w:rsidRPr="00197072">
        <w:rPr>
          <w:sz w:val="22"/>
        </w:rPr>
        <w:t xml:space="preserve">En el </w:t>
      </w:r>
      <w:r w:rsidRPr="00EC0019">
        <w:rPr>
          <w:sz w:val="22"/>
          <w:szCs w:val="22"/>
        </w:rPr>
        <w:t>documento</w:t>
      </w:r>
      <w:r w:rsidRPr="00197072">
        <w:rPr>
          <w:sz w:val="22"/>
        </w:rPr>
        <w:t xml:space="preserve"> “</w:t>
      </w:r>
      <w:r w:rsidR="00A37B5B" w:rsidRPr="00197072">
        <w:rPr>
          <w:sz w:val="22"/>
        </w:rPr>
        <w:t xml:space="preserve">Componente Espacial Proyecto Complejo </w:t>
      </w:r>
      <w:r w:rsidR="00A37B5B">
        <w:rPr>
          <w:sz w:val="22"/>
        </w:rPr>
        <w:t>d</w:t>
      </w:r>
      <w:r w:rsidR="00A37B5B" w:rsidRPr="00197072">
        <w:rPr>
          <w:sz w:val="22"/>
        </w:rPr>
        <w:t>e La Salud</w:t>
      </w:r>
      <w:r w:rsidRPr="00197072">
        <w:rPr>
          <w:sz w:val="22"/>
        </w:rPr>
        <w:t xml:space="preserve">”, </w:t>
      </w:r>
      <w:r w:rsidR="001A71F1" w:rsidRPr="001A71F1">
        <w:rPr>
          <w:sz w:val="22"/>
        </w:rPr>
        <w:t>página 85</w:t>
      </w:r>
      <w:r w:rsidR="001A71F1">
        <w:rPr>
          <w:sz w:val="22"/>
        </w:rPr>
        <w:t>,</w:t>
      </w:r>
      <w:r w:rsidR="001A71F1" w:rsidRPr="00197072">
        <w:rPr>
          <w:sz w:val="22"/>
        </w:rPr>
        <w:t xml:space="preserve"> </w:t>
      </w:r>
      <w:r w:rsidRPr="00197072">
        <w:rPr>
          <w:sz w:val="22"/>
        </w:rPr>
        <w:t xml:space="preserve">evidencia </w:t>
      </w:r>
      <w:r w:rsidR="00FF5D6B">
        <w:rPr>
          <w:sz w:val="22"/>
        </w:rPr>
        <w:t>una</w:t>
      </w:r>
      <w:r w:rsidRPr="00197072">
        <w:rPr>
          <w:sz w:val="22"/>
        </w:rPr>
        <w:t xml:space="preserve"> comunicación del</w:t>
      </w:r>
      <w:r w:rsidRPr="001A71F1">
        <w:rPr>
          <w:sz w:val="22"/>
        </w:rPr>
        <w:t xml:space="preserve"> 11 de mayo</w:t>
      </w:r>
      <w:r w:rsidR="001A71F1" w:rsidRPr="001A71F1">
        <w:rPr>
          <w:sz w:val="22"/>
        </w:rPr>
        <w:t xml:space="preserve"> </w:t>
      </w:r>
      <w:r w:rsidR="00FF5D6B">
        <w:rPr>
          <w:sz w:val="22"/>
        </w:rPr>
        <w:t xml:space="preserve">en la cual </w:t>
      </w:r>
      <w:r w:rsidRPr="00197072">
        <w:rPr>
          <w:sz w:val="22"/>
        </w:rPr>
        <w:t>los arquitectos dan respuesta a la C</w:t>
      </w:r>
      <w:r>
        <w:rPr>
          <w:sz w:val="22"/>
        </w:rPr>
        <w:t>IS respecto a la propuesta del a</w:t>
      </w:r>
      <w:r w:rsidR="00FE5A4E">
        <w:rPr>
          <w:sz w:val="22"/>
        </w:rPr>
        <w:t>cta de s</w:t>
      </w:r>
      <w:r w:rsidRPr="00197072">
        <w:rPr>
          <w:sz w:val="22"/>
        </w:rPr>
        <w:t xml:space="preserve">uspensión, haciendo un marco con los antecedentes y algunos comentarios al borrador del acta de suspensión.  </w:t>
      </w:r>
    </w:p>
    <w:p w14:paraId="771E3891" w14:textId="30C11657" w:rsidR="00EC0019" w:rsidRDefault="00EC0019" w:rsidP="00EC0019">
      <w:pPr>
        <w:pStyle w:val="Prrafodelista"/>
        <w:jc w:val="both"/>
        <w:rPr>
          <w:sz w:val="22"/>
        </w:rPr>
      </w:pPr>
    </w:p>
    <w:p w14:paraId="60895C7B" w14:textId="10EE66D0" w:rsidR="00EC0019" w:rsidRPr="001F44F4" w:rsidRDefault="00EC0019" w:rsidP="00FF5D6B">
      <w:pPr>
        <w:pStyle w:val="Prrafodelista"/>
        <w:ind w:left="993" w:right="333"/>
        <w:jc w:val="both"/>
        <w:rPr>
          <w:color w:val="FF0000"/>
          <w:sz w:val="20"/>
        </w:rPr>
      </w:pPr>
      <w:r w:rsidRPr="001F44F4">
        <w:rPr>
          <w:sz w:val="20"/>
        </w:rPr>
        <w:t>“</w:t>
      </w:r>
      <w:r w:rsidRPr="001F44F4">
        <w:rPr>
          <w:i/>
          <w:sz w:val="20"/>
          <w:szCs w:val="21"/>
        </w:rPr>
        <w:t>La UT SM + Síntesis no firma el Acta de Suspensión hasta tanto no se cumplan las siguientes condiciones: … Que se aclare por parte de CIS el numeral 4 del acápite de consideraciones del borrador de acta de suspensión, pues es necesario entender que es lo que verdaderamente significa que “El proyecto no cuenta con una Evaluación Financiera integral” y cuál es el impacto de ello en el corto, mediano y largo plazo.  Desde ya la UT aclara y manifiesta que si existen dificultades presupuestales para la ejecución de la futura obra, ello no es del resorte de la UT…”</w:t>
      </w:r>
      <w:r w:rsidR="00A37B5B" w:rsidRPr="001F44F4">
        <w:rPr>
          <w:i/>
          <w:sz w:val="20"/>
          <w:szCs w:val="21"/>
        </w:rPr>
        <w:t xml:space="preserve">  </w:t>
      </w:r>
    </w:p>
    <w:p w14:paraId="0E72354B" w14:textId="0EFB544A" w:rsidR="00EC0019" w:rsidRDefault="00EC0019" w:rsidP="00EC0019">
      <w:pPr>
        <w:ind w:left="709" w:right="565"/>
        <w:jc w:val="both"/>
        <w:rPr>
          <w:i/>
          <w:sz w:val="20"/>
          <w:szCs w:val="20"/>
        </w:rPr>
      </w:pPr>
    </w:p>
    <w:p w14:paraId="07DD2B37" w14:textId="4C6A9356" w:rsidR="0067660C" w:rsidRPr="00D51A2D" w:rsidRDefault="0067660C" w:rsidP="008D602A">
      <w:pPr>
        <w:ind w:left="426"/>
        <w:jc w:val="both"/>
        <w:rPr>
          <w:b/>
          <w:color w:val="385623" w:themeColor="accent6" w:themeShade="80"/>
          <w:sz w:val="22"/>
        </w:rPr>
      </w:pPr>
      <w:r w:rsidRPr="00D51A2D">
        <w:rPr>
          <w:b/>
          <w:color w:val="385623" w:themeColor="accent6" w:themeShade="80"/>
          <w:sz w:val="22"/>
        </w:rPr>
        <w:t>Riesgo</w:t>
      </w:r>
      <w:r w:rsidR="00950565">
        <w:rPr>
          <w:b/>
          <w:color w:val="385623" w:themeColor="accent6" w:themeShade="80"/>
          <w:sz w:val="22"/>
        </w:rPr>
        <w:t>s</w:t>
      </w:r>
    </w:p>
    <w:p w14:paraId="17EE49CA" w14:textId="0FCB3B43" w:rsidR="0067660C" w:rsidRPr="005F19D0" w:rsidRDefault="0067660C" w:rsidP="008D602A">
      <w:pPr>
        <w:pStyle w:val="Default"/>
        <w:ind w:left="426"/>
        <w:jc w:val="both"/>
        <w:rPr>
          <w:rFonts w:ascii="Times New Roman" w:eastAsia="Times New Roman" w:hAnsi="Times New Roman" w:cs="Times New Roman"/>
          <w:color w:val="auto"/>
          <w:sz w:val="22"/>
          <w:lang w:eastAsia="es-CO"/>
        </w:rPr>
      </w:pPr>
      <w:r w:rsidRPr="005F19D0">
        <w:rPr>
          <w:rFonts w:ascii="Times New Roman" w:eastAsia="Times New Roman" w:hAnsi="Times New Roman" w:cs="Times New Roman"/>
          <w:color w:val="auto"/>
          <w:sz w:val="22"/>
          <w:lang w:eastAsia="es-CO"/>
        </w:rPr>
        <w:t xml:space="preserve">Los contratos de Gerencia Técnica del proyecto, Dirección general del proyecto, y el contrato con la CIS, tienen una sola interventoría general y </w:t>
      </w:r>
      <w:r w:rsidR="00FA3DF3">
        <w:rPr>
          <w:rFonts w:ascii="Times New Roman" w:eastAsia="Times New Roman" w:hAnsi="Times New Roman" w:cs="Times New Roman"/>
          <w:color w:val="auto"/>
          <w:sz w:val="22"/>
          <w:lang w:eastAsia="es-CO"/>
        </w:rPr>
        <w:t>dada su</w:t>
      </w:r>
      <w:r w:rsidRPr="005F19D0">
        <w:rPr>
          <w:rFonts w:ascii="Times New Roman" w:eastAsia="Times New Roman" w:hAnsi="Times New Roman" w:cs="Times New Roman"/>
          <w:color w:val="auto"/>
          <w:sz w:val="22"/>
          <w:lang w:eastAsia="es-CO"/>
        </w:rPr>
        <w:t xml:space="preserve"> </w:t>
      </w:r>
      <w:r>
        <w:rPr>
          <w:rFonts w:ascii="Times New Roman" w:eastAsia="Times New Roman" w:hAnsi="Times New Roman" w:cs="Times New Roman"/>
          <w:color w:val="auto"/>
          <w:sz w:val="22"/>
          <w:lang w:eastAsia="es-CO"/>
        </w:rPr>
        <w:t>complejidad</w:t>
      </w:r>
      <w:r w:rsidRPr="005F19D0">
        <w:rPr>
          <w:rFonts w:ascii="Times New Roman" w:eastAsia="Times New Roman" w:hAnsi="Times New Roman" w:cs="Times New Roman"/>
          <w:color w:val="auto"/>
          <w:sz w:val="22"/>
          <w:lang w:eastAsia="es-CO"/>
        </w:rPr>
        <w:t xml:space="preserve"> demanda</w:t>
      </w:r>
      <w:r w:rsidR="00FA3DF3">
        <w:rPr>
          <w:rFonts w:ascii="Times New Roman" w:eastAsia="Times New Roman" w:hAnsi="Times New Roman" w:cs="Times New Roman"/>
          <w:color w:val="auto"/>
          <w:sz w:val="22"/>
          <w:lang w:eastAsia="es-CO"/>
        </w:rPr>
        <w:t>n</w:t>
      </w:r>
      <w:r w:rsidRPr="005F19D0">
        <w:rPr>
          <w:rFonts w:ascii="Times New Roman" w:eastAsia="Times New Roman" w:hAnsi="Times New Roman" w:cs="Times New Roman"/>
          <w:color w:val="auto"/>
          <w:sz w:val="22"/>
          <w:lang w:eastAsia="es-CO"/>
        </w:rPr>
        <w:t xml:space="preserve"> mayor dedicación.</w:t>
      </w:r>
    </w:p>
    <w:p w14:paraId="2B919769" w14:textId="77777777" w:rsidR="0067660C" w:rsidRPr="005F19D0" w:rsidRDefault="0067660C" w:rsidP="008D602A">
      <w:pPr>
        <w:pStyle w:val="Default"/>
        <w:ind w:left="426"/>
        <w:jc w:val="both"/>
        <w:rPr>
          <w:rFonts w:ascii="Times New Roman" w:eastAsia="Times New Roman" w:hAnsi="Times New Roman" w:cs="Times New Roman"/>
          <w:color w:val="auto"/>
          <w:sz w:val="22"/>
          <w:lang w:eastAsia="es-CO"/>
        </w:rPr>
      </w:pPr>
    </w:p>
    <w:p w14:paraId="0B6A667F" w14:textId="4FAFD946" w:rsidR="0067660C" w:rsidRPr="005F19D0" w:rsidRDefault="0067660C" w:rsidP="008D602A">
      <w:pPr>
        <w:pStyle w:val="Default"/>
        <w:ind w:left="426"/>
        <w:jc w:val="both"/>
        <w:rPr>
          <w:rFonts w:ascii="Times New Roman" w:eastAsia="Times New Roman" w:hAnsi="Times New Roman" w:cs="Times New Roman"/>
          <w:color w:val="auto"/>
          <w:sz w:val="22"/>
          <w:lang w:eastAsia="es-CO"/>
        </w:rPr>
      </w:pPr>
      <w:r w:rsidRPr="005F19D0">
        <w:rPr>
          <w:rFonts w:ascii="Times New Roman" w:eastAsia="Times New Roman" w:hAnsi="Times New Roman" w:cs="Times New Roman"/>
          <w:color w:val="auto"/>
          <w:sz w:val="22"/>
          <w:lang w:eastAsia="es-CO"/>
        </w:rPr>
        <w:lastRenderedPageBreak/>
        <w:t>La desconexión temporal y los desfases de ejecución posibilitan un seguimiento deficiente a los diseños y problemas en la planeación</w:t>
      </w:r>
      <w:r w:rsidR="004C1AA0">
        <w:rPr>
          <w:rFonts w:ascii="Times New Roman" w:eastAsia="Times New Roman" w:hAnsi="Times New Roman" w:cs="Times New Roman"/>
          <w:color w:val="auto"/>
          <w:sz w:val="22"/>
          <w:lang w:eastAsia="es-CO"/>
        </w:rPr>
        <w:t>,</w:t>
      </w:r>
      <w:r w:rsidRPr="005F19D0">
        <w:rPr>
          <w:rFonts w:ascii="Times New Roman" w:eastAsia="Times New Roman" w:hAnsi="Times New Roman" w:cs="Times New Roman"/>
          <w:color w:val="auto"/>
          <w:sz w:val="22"/>
          <w:lang w:eastAsia="es-CO"/>
        </w:rPr>
        <w:t xml:space="preserve"> </w:t>
      </w:r>
      <w:r w:rsidR="00D7350E" w:rsidRPr="005F19D0">
        <w:rPr>
          <w:rFonts w:ascii="Times New Roman" w:eastAsia="Times New Roman" w:hAnsi="Times New Roman" w:cs="Times New Roman"/>
          <w:color w:val="auto"/>
          <w:sz w:val="22"/>
          <w:lang w:eastAsia="es-CO"/>
        </w:rPr>
        <w:t>cumplimiento y</w:t>
      </w:r>
      <w:r w:rsidRPr="005F19D0">
        <w:rPr>
          <w:rFonts w:ascii="Times New Roman" w:eastAsia="Times New Roman" w:hAnsi="Times New Roman" w:cs="Times New Roman"/>
          <w:color w:val="auto"/>
          <w:sz w:val="22"/>
          <w:lang w:eastAsia="es-CO"/>
        </w:rPr>
        <w:t xml:space="preserve"> la ejecución</w:t>
      </w:r>
      <w:r w:rsidR="004C1AA0">
        <w:rPr>
          <w:rFonts w:ascii="Times New Roman" w:eastAsia="Times New Roman" w:hAnsi="Times New Roman" w:cs="Times New Roman"/>
          <w:color w:val="auto"/>
          <w:sz w:val="22"/>
          <w:lang w:eastAsia="es-CO"/>
        </w:rPr>
        <w:t xml:space="preserve"> de los contratos</w:t>
      </w:r>
      <w:r w:rsidRPr="005F19D0">
        <w:rPr>
          <w:rFonts w:ascii="Times New Roman" w:eastAsia="Times New Roman" w:hAnsi="Times New Roman" w:cs="Times New Roman"/>
          <w:color w:val="auto"/>
          <w:sz w:val="22"/>
          <w:lang w:eastAsia="es-CO"/>
        </w:rPr>
        <w:t xml:space="preserve"> del proyecto.</w:t>
      </w:r>
    </w:p>
    <w:p w14:paraId="399F713E" w14:textId="77777777" w:rsidR="00B7680A" w:rsidRDefault="00B7680A" w:rsidP="008D602A">
      <w:pPr>
        <w:ind w:left="426"/>
        <w:jc w:val="both"/>
        <w:rPr>
          <w:b/>
          <w:color w:val="385623" w:themeColor="accent6" w:themeShade="80"/>
          <w:sz w:val="22"/>
        </w:rPr>
      </w:pPr>
    </w:p>
    <w:p w14:paraId="4B53660A" w14:textId="4F60D4FF" w:rsidR="0067660C" w:rsidRDefault="0067660C" w:rsidP="008D602A">
      <w:pPr>
        <w:ind w:left="426"/>
        <w:jc w:val="both"/>
        <w:rPr>
          <w:b/>
          <w:color w:val="385623" w:themeColor="accent6" w:themeShade="80"/>
          <w:sz w:val="22"/>
        </w:rPr>
      </w:pPr>
      <w:r w:rsidRPr="00D51A2D">
        <w:rPr>
          <w:b/>
          <w:color w:val="385623" w:themeColor="accent6" w:themeShade="80"/>
          <w:sz w:val="22"/>
        </w:rPr>
        <w:t>Recomendación</w:t>
      </w:r>
    </w:p>
    <w:p w14:paraId="0ACE195D" w14:textId="02AD21E1" w:rsidR="00A37B5B" w:rsidRPr="00646FE9" w:rsidRDefault="00A37B5B" w:rsidP="008D602A">
      <w:pPr>
        <w:ind w:left="426"/>
        <w:jc w:val="both"/>
        <w:rPr>
          <w:sz w:val="22"/>
        </w:rPr>
      </w:pPr>
      <w:r w:rsidRPr="00646FE9">
        <w:rPr>
          <w:sz w:val="22"/>
        </w:rPr>
        <w:t xml:space="preserve">Es necesario que el </w:t>
      </w:r>
      <w:r w:rsidR="00973396" w:rsidRPr="00646FE9">
        <w:rPr>
          <w:sz w:val="22"/>
        </w:rPr>
        <w:t>Comité</w:t>
      </w:r>
      <w:r w:rsidRPr="00646FE9">
        <w:rPr>
          <w:sz w:val="22"/>
        </w:rPr>
        <w:t xml:space="preserve"> Directivo, </w:t>
      </w:r>
      <w:r w:rsidR="00FA3DF3">
        <w:rPr>
          <w:sz w:val="22"/>
        </w:rPr>
        <w:t>determine</w:t>
      </w:r>
      <w:r w:rsidR="00FA3DF3" w:rsidRPr="00646FE9">
        <w:rPr>
          <w:sz w:val="22"/>
        </w:rPr>
        <w:t xml:space="preserve"> </w:t>
      </w:r>
      <w:r w:rsidRPr="00646FE9">
        <w:rPr>
          <w:sz w:val="22"/>
        </w:rPr>
        <w:t>los lineamientos para resolver aspectos como:</w:t>
      </w:r>
    </w:p>
    <w:p w14:paraId="02D09CF4" w14:textId="2BEEB27E" w:rsidR="00A37B5B" w:rsidRPr="00646FE9" w:rsidRDefault="00A37B5B" w:rsidP="008D602A">
      <w:pPr>
        <w:ind w:left="426"/>
        <w:jc w:val="both"/>
        <w:rPr>
          <w:sz w:val="22"/>
        </w:rPr>
      </w:pPr>
    </w:p>
    <w:p w14:paraId="7F424949" w14:textId="46F9727B" w:rsidR="00645786" w:rsidRPr="00646FE9" w:rsidRDefault="00645786" w:rsidP="001F44F4">
      <w:pPr>
        <w:pStyle w:val="Prrafodelista"/>
        <w:numPr>
          <w:ilvl w:val="0"/>
          <w:numId w:val="66"/>
        </w:numPr>
        <w:tabs>
          <w:tab w:val="left" w:pos="851"/>
        </w:tabs>
        <w:jc w:val="both"/>
        <w:rPr>
          <w:sz w:val="22"/>
          <w:szCs w:val="22"/>
        </w:rPr>
      </w:pPr>
      <w:r w:rsidRPr="00646FE9">
        <w:rPr>
          <w:sz w:val="22"/>
          <w:szCs w:val="22"/>
        </w:rPr>
        <w:t xml:space="preserve">Definir la nueva estructura requerida para el proyecto, </w:t>
      </w:r>
      <w:r w:rsidR="001D10BF" w:rsidRPr="008C298B">
        <w:rPr>
          <w:sz w:val="22"/>
          <w:szCs w:val="22"/>
        </w:rPr>
        <w:t>así</w:t>
      </w:r>
      <w:r w:rsidRPr="00646FE9">
        <w:rPr>
          <w:sz w:val="22"/>
          <w:szCs w:val="22"/>
        </w:rPr>
        <w:t xml:space="preserve"> como los roles</w:t>
      </w:r>
      <w:r w:rsidR="00633EA3">
        <w:rPr>
          <w:sz w:val="22"/>
          <w:szCs w:val="22"/>
        </w:rPr>
        <w:t>.</w:t>
      </w:r>
    </w:p>
    <w:p w14:paraId="798FC0E7" w14:textId="1660931D" w:rsidR="00645786" w:rsidRPr="00646FE9" w:rsidRDefault="00645786" w:rsidP="008D602A">
      <w:pPr>
        <w:pStyle w:val="Prrafodelista"/>
        <w:tabs>
          <w:tab w:val="left" w:pos="851"/>
        </w:tabs>
        <w:ind w:left="851" w:hanging="284"/>
        <w:jc w:val="both"/>
        <w:rPr>
          <w:sz w:val="22"/>
          <w:szCs w:val="22"/>
        </w:rPr>
      </w:pPr>
    </w:p>
    <w:p w14:paraId="4BF643B7" w14:textId="6AA9A5EF" w:rsidR="001D10BF" w:rsidRPr="00646FE9" w:rsidRDefault="00645786" w:rsidP="001F44F4">
      <w:pPr>
        <w:pStyle w:val="Prrafodelista"/>
        <w:numPr>
          <w:ilvl w:val="0"/>
          <w:numId w:val="66"/>
        </w:numPr>
        <w:tabs>
          <w:tab w:val="left" w:pos="851"/>
        </w:tabs>
        <w:jc w:val="both"/>
        <w:rPr>
          <w:i/>
          <w:sz w:val="22"/>
          <w:szCs w:val="22"/>
        </w:rPr>
      </w:pPr>
      <w:r w:rsidRPr="00043DFF">
        <w:rPr>
          <w:sz w:val="22"/>
          <w:szCs w:val="22"/>
        </w:rPr>
        <w:t>Tener</w:t>
      </w:r>
      <w:r w:rsidRPr="00646FE9">
        <w:rPr>
          <w:sz w:val="22"/>
          <w:szCs w:val="22"/>
        </w:rPr>
        <w:t xml:space="preserve"> en cuenta </w:t>
      </w:r>
      <w:r w:rsidR="001D10BF">
        <w:rPr>
          <w:sz w:val="22"/>
          <w:szCs w:val="22"/>
        </w:rPr>
        <w:t xml:space="preserve">las recomendaciones de la </w:t>
      </w:r>
      <w:r w:rsidRPr="00043DFF">
        <w:rPr>
          <w:sz w:val="22"/>
          <w:szCs w:val="22"/>
        </w:rPr>
        <w:t xml:space="preserve">Gerencia General </w:t>
      </w:r>
      <w:r w:rsidR="001D10BF">
        <w:rPr>
          <w:sz w:val="22"/>
          <w:szCs w:val="22"/>
        </w:rPr>
        <w:t>del contrato.</w:t>
      </w:r>
    </w:p>
    <w:p w14:paraId="36BC83CF" w14:textId="77777777" w:rsidR="001D10BF" w:rsidRPr="00646FE9" w:rsidRDefault="001D10BF" w:rsidP="00646FE9">
      <w:pPr>
        <w:pStyle w:val="Prrafodelista"/>
        <w:rPr>
          <w:i/>
          <w:sz w:val="22"/>
          <w:szCs w:val="22"/>
        </w:rPr>
      </w:pPr>
    </w:p>
    <w:p w14:paraId="11F88885" w14:textId="3A69D05B" w:rsidR="00645786" w:rsidRPr="00646FE9" w:rsidRDefault="001D10BF" w:rsidP="001F44F4">
      <w:pPr>
        <w:pStyle w:val="Prrafodelista"/>
        <w:numPr>
          <w:ilvl w:val="0"/>
          <w:numId w:val="66"/>
        </w:numPr>
        <w:tabs>
          <w:tab w:val="left" w:pos="851"/>
        </w:tabs>
        <w:jc w:val="both"/>
        <w:rPr>
          <w:sz w:val="22"/>
          <w:szCs w:val="22"/>
        </w:rPr>
      </w:pPr>
      <w:r w:rsidRPr="00646FE9">
        <w:rPr>
          <w:sz w:val="22"/>
          <w:szCs w:val="22"/>
        </w:rPr>
        <w:t xml:space="preserve">Asegurar </w:t>
      </w:r>
      <w:r w:rsidR="00645786" w:rsidRPr="00646FE9">
        <w:rPr>
          <w:sz w:val="22"/>
          <w:szCs w:val="22"/>
        </w:rPr>
        <w:t xml:space="preserve">la transferencia de conocimiento y captura de información </w:t>
      </w:r>
      <w:r w:rsidRPr="00646FE9">
        <w:rPr>
          <w:sz w:val="22"/>
          <w:szCs w:val="22"/>
        </w:rPr>
        <w:t>histórica</w:t>
      </w:r>
    </w:p>
    <w:p w14:paraId="0064FB55" w14:textId="77777777" w:rsidR="00645786" w:rsidRPr="00646FE9" w:rsidRDefault="00645786" w:rsidP="008D602A">
      <w:pPr>
        <w:pStyle w:val="Prrafodelista"/>
        <w:tabs>
          <w:tab w:val="left" w:pos="851"/>
        </w:tabs>
        <w:ind w:left="851" w:hanging="284"/>
        <w:jc w:val="both"/>
        <w:rPr>
          <w:sz w:val="22"/>
          <w:szCs w:val="22"/>
        </w:rPr>
      </w:pPr>
    </w:p>
    <w:p w14:paraId="152C19F9" w14:textId="086B0136" w:rsidR="00A37B5B" w:rsidRPr="00043DFF" w:rsidRDefault="00A37B5B" w:rsidP="001F44F4">
      <w:pPr>
        <w:pStyle w:val="Prrafodelista"/>
        <w:numPr>
          <w:ilvl w:val="0"/>
          <w:numId w:val="66"/>
        </w:numPr>
        <w:tabs>
          <w:tab w:val="left" w:pos="851"/>
        </w:tabs>
        <w:jc w:val="both"/>
        <w:rPr>
          <w:sz w:val="22"/>
          <w:szCs w:val="22"/>
        </w:rPr>
      </w:pPr>
      <w:r w:rsidRPr="00043DFF">
        <w:rPr>
          <w:sz w:val="22"/>
          <w:szCs w:val="22"/>
        </w:rPr>
        <w:t>Analizar el estado de avance actual y las causales de retrasos en el cronograma</w:t>
      </w:r>
      <w:r w:rsidR="001D10BF">
        <w:rPr>
          <w:sz w:val="22"/>
          <w:szCs w:val="22"/>
        </w:rPr>
        <w:t>;</w:t>
      </w:r>
      <w:r w:rsidRPr="00043DFF">
        <w:rPr>
          <w:sz w:val="22"/>
          <w:szCs w:val="22"/>
        </w:rPr>
        <w:t xml:space="preserve"> d</w:t>
      </w:r>
      <w:r w:rsidRPr="00646FE9">
        <w:rPr>
          <w:sz w:val="22"/>
          <w:szCs w:val="22"/>
        </w:rPr>
        <w:t>eterminar diferencias cronológicas y de ejecución de los diferentes contratos y subcontratos</w:t>
      </w:r>
      <w:r w:rsidRPr="00043DFF">
        <w:rPr>
          <w:sz w:val="22"/>
          <w:szCs w:val="22"/>
        </w:rPr>
        <w:t>, con el fin de determinar las acciones necesarias.</w:t>
      </w:r>
    </w:p>
    <w:p w14:paraId="75BCB5C7" w14:textId="77777777" w:rsidR="00A37B5B" w:rsidRPr="00043DFF" w:rsidRDefault="00A37B5B" w:rsidP="008D602A">
      <w:pPr>
        <w:pStyle w:val="Prrafodelista"/>
        <w:tabs>
          <w:tab w:val="left" w:pos="851"/>
        </w:tabs>
        <w:ind w:left="851" w:hanging="284"/>
        <w:jc w:val="both"/>
        <w:rPr>
          <w:sz w:val="22"/>
          <w:szCs w:val="22"/>
        </w:rPr>
      </w:pPr>
    </w:p>
    <w:p w14:paraId="2CFC9532" w14:textId="0C1A3968" w:rsidR="00A37B5B" w:rsidRPr="00043DFF" w:rsidRDefault="00A37B5B" w:rsidP="001F44F4">
      <w:pPr>
        <w:pStyle w:val="Prrafodelista"/>
        <w:numPr>
          <w:ilvl w:val="0"/>
          <w:numId w:val="66"/>
        </w:numPr>
        <w:tabs>
          <w:tab w:val="left" w:pos="851"/>
        </w:tabs>
        <w:jc w:val="both"/>
        <w:rPr>
          <w:sz w:val="22"/>
          <w:szCs w:val="22"/>
        </w:rPr>
      </w:pPr>
      <w:r w:rsidRPr="00043DFF">
        <w:rPr>
          <w:sz w:val="22"/>
          <w:szCs w:val="22"/>
        </w:rPr>
        <w:t xml:space="preserve">Solicitar concepto jurídico en cuanto a la posibilidad y alternativas de ampliar los cronogramas de ejecución hasta la vigencia 2019, considerando el avance real de la ejecución de los contratos y la posibilidad de sincronizar el desarrollo de </w:t>
      </w:r>
      <w:r w:rsidR="00633EA3" w:rsidRPr="00043DFF">
        <w:rPr>
          <w:sz w:val="22"/>
          <w:szCs w:val="22"/>
        </w:rPr>
        <w:t>estos</w:t>
      </w:r>
      <w:r w:rsidRPr="00043DFF">
        <w:rPr>
          <w:sz w:val="22"/>
          <w:szCs w:val="22"/>
        </w:rPr>
        <w:t>.</w:t>
      </w:r>
    </w:p>
    <w:p w14:paraId="66B695C4" w14:textId="77777777" w:rsidR="00A37B5B" w:rsidRPr="00043DFF" w:rsidRDefault="00A37B5B" w:rsidP="008D602A">
      <w:pPr>
        <w:pStyle w:val="Prrafodelista"/>
        <w:tabs>
          <w:tab w:val="left" w:pos="851"/>
        </w:tabs>
        <w:ind w:left="851" w:hanging="284"/>
        <w:jc w:val="both"/>
        <w:rPr>
          <w:sz w:val="22"/>
          <w:szCs w:val="22"/>
        </w:rPr>
      </w:pPr>
    </w:p>
    <w:p w14:paraId="05E804DC" w14:textId="157ED328" w:rsidR="00F435C9" w:rsidRPr="00646FE9" w:rsidRDefault="00B14537" w:rsidP="001F44F4">
      <w:pPr>
        <w:pStyle w:val="Prrafodelista"/>
        <w:numPr>
          <w:ilvl w:val="0"/>
          <w:numId w:val="66"/>
        </w:numPr>
        <w:tabs>
          <w:tab w:val="left" w:pos="851"/>
        </w:tabs>
        <w:jc w:val="both"/>
        <w:rPr>
          <w:sz w:val="22"/>
          <w:szCs w:val="22"/>
        </w:rPr>
      </w:pPr>
      <w:r w:rsidRPr="00043DFF">
        <w:rPr>
          <w:sz w:val="22"/>
          <w:szCs w:val="22"/>
        </w:rPr>
        <w:t>Requerir</w:t>
      </w:r>
      <w:r w:rsidR="00F435C9" w:rsidRPr="00043DFF">
        <w:rPr>
          <w:sz w:val="22"/>
          <w:szCs w:val="22"/>
        </w:rPr>
        <w:t xml:space="preserve"> a la CIS </w:t>
      </w:r>
      <w:r w:rsidR="00F11DD3" w:rsidRPr="00043DFF">
        <w:rPr>
          <w:sz w:val="22"/>
          <w:szCs w:val="22"/>
        </w:rPr>
        <w:t xml:space="preserve">para que presente </w:t>
      </w:r>
      <w:r w:rsidR="00F435C9" w:rsidRPr="00043DFF">
        <w:rPr>
          <w:sz w:val="22"/>
          <w:szCs w:val="22"/>
        </w:rPr>
        <w:t xml:space="preserve">una reprogramación </w:t>
      </w:r>
      <w:r w:rsidR="00F435C9" w:rsidRPr="00646FE9">
        <w:rPr>
          <w:sz w:val="22"/>
          <w:szCs w:val="22"/>
        </w:rPr>
        <w:t>crítica</w:t>
      </w:r>
      <w:r w:rsidR="00F11DD3" w:rsidRPr="00043DFF">
        <w:rPr>
          <w:sz w:val="22"/>
          <w:szCs w:val="22"/>
        </w:rPr>
        <w:t>,</w:t>
      </w:r>
      <w:r w:rsidR="00F435C9" w:rsidRPr="00043DFF">
        <w:rPr>
          <w:sz w:val="22"/>
          <w:szCs w:val="22"/>
        </w:rPr>
        <w:t xml:space="preserve"> </w:t>
      </w:r>
      <w:r w:rsidR="00A37B5B" w:rsidRPr="00043DFF">
        <w:rPr>
          <w:sz w:val="22"/>
          <w:szCs w:val="22"/>
        </w:rPr>
        <w:t xml:space="preserve">formular un </w:t>
      </w:r>
      <w:r w:rsidR="00F435C9" w:rsidRPr="00043DFF">
        <w:rPr>
          <w:sz w:val="22"/>
          <w:szCs w:val="22"/>
        </w:rPr>
        <w:t>plan de contingencia</w:t>
      </w:r>
      <w:r w:rsidR="00F11DD3" w:rsidRPr="00043DFF">
        <w:rPr>
          <w:sz w:val="22"/>
          <w:szCs w:val="22"/>
        </w:rPr>
        <w:t xml:space="preserve"> y </w:t>
      </w:r>
      <w:r w:rsidR="00F435C9" w:rsidRPr="00043DFF">
        <w:rPr>
          <w:sz w:val="22"/>
          <w:szCs w:val="22"/>
        </w:rPr>
        <w:t>del cumplimiento</w:t>
      </w:r>
      <w:r w:rsidRPr="00043DFF">
        <w:rPr>
          <w:sz w:val="22"/>
          <w:szCs w:val="22"/>
        </w:rPr>
        <w:t xml:space="preserve"> </w:t>
      </w:r>
      <w:r w:rsidR="00F435C9" w:rsidRPr="00043DFF">
        <w:rPr>
          <w:sz w:val="22"/>
          <w:szCs w:val="22"/>
        </w:rPr>
        <w:t xml:space="preserve">de </w:t>
      </w:r>
      <w:r w:rsidRPr="00043DFF">
        <w:rPr>
          <w:sz w:val="22"/>
          <w:szCs w:val="22"/>
        </w:rPr>
        <w:t>las</w:t>
      </w:r>
      <w:r w:rsidR="00F435C9" w:rsidRPr="00043DFF">
        <w:rPr>
          <w:sz w:val="22"/>
          <w:szCs w:val="22"/>
        </w:rPr>
        <w:t xml:space="preserve"> obligaciones contractuales.  </w:t>
      </w:r>
    </w:p>
    <w:p w14:paraId="31A15F5E" w14:textId="77777777" w:rsidR="0034265C" w:rsidRPr="00646FE9" w:rsidRDefault="0034265C" w:rsidP="008D602A">
      <w:pPr>
        <w:pStyle w:val="Prrafodelista"/>
        <w:tabs>
          <w:tab w:val="left" w:pos="851"/>
        </w:tabs>
        <w:ind w:left="851" w:hanging="284"/>
        <w:rPr>
          <w:sz w:val="22"/>
          <w:szCs w:val="22"/>
        </w:rPr>
      </w:pPr>
    </w:p>
    <w:p w14:paraId="4449C0E8" w14:textId="7F478A5F" w:rsidR="00FF02EC" w:rsidRPr="00043DFF" w:rsidRDefault="0034265C" w:rsidP="001F44F4">
      <w:pPr>
        <w:pStyle w:val="Prrafodelista"/>
        <w:numPr>
          <w:ilvl w:val="0"/>
          <w:numId w:val="66"/>
        </w:numPr>
        <w:tabs>
          <w:tab w:val="left" w:pos="851"/>
        </w:tabs>
        <w:rPr>
          <w:sz w:val="22"/>
          <w:szCs w:val="22"/>
        </w:rPr>
      </w:pPr>
      <w:r w:rsidRPr="00646FE9">
        <w:rPr>
          <w:sz w:val="22"/>
          <w:szCs w:val="22"/>
        </w:rPr>
        <w:t>Identificar considerar en recomendación informar los pendientes encontrados.</w:t>
      </w:r>
    </w:p>
    <w:p w14:paraId="7CE2AA72" w14:textId="77777777" w:rsidR="009B1587" w:rsidRDefault="009B1587" w:rsidP="009B1587">
      <w:pPr>
        <w:ind w:left="360"/>
        <w:jc w:val="both"/>
        <w:rPr>
          <w:b/>
          <w:color w:val="385623" w:themeColor="accent6" w:themeShade="80"/>
          <w:sz w:val="22"/>
        </w:rPr>
      </w:pPr>
    </w:p>
    <w:p w14:paraId="7E206F84" w14:textId="606424BF" w:rsidR="009B1587" w:rsidRPr="009B1587" w:rsidRDefault="009B1587" w:rsidP="009B1587">
      <w:pPr>
        <w:ind w:left="360"/>
        <w:jc w:val="both"/>
        <w:rPr>
          <w:bCs/>
          <w:sz w:val="22"/>
          <w:szCs w:val="22"/>
        </w:rPr>
      </w:pPr>
      <w:r w:rsidRPr="009B1587">
        <w:rPr>
          <w:b/>
          <w:color w:val="385623" w:themeColor="accent6" w:themeShade="80"/>
          <w:sz w:val="22"/>
        </w:rPr>
        <w:t xml:space="preserve">Comentarios Administración </w:t>
      </w:r>
    </w:p>
    <w:p w14:paraId="3D630D5E" w14:textId="77777777" w:rsidR="009B1587" w:rsidRPr="009B1587" w:rsidRDefault="009B1587" w:rsidP="009B1587">
      <w:pPr>
        <w:ind w:left="426"/>
        <w:jc w:val="both"/>
        <w:rPr>
          <w:bCs/>
          <w:sz w:val="22"/>
          <w:szCs w:val="22"/>
        </w:rPr>
      </w:pPr>
      <w:r w:rsidRPr="009B1587">
        <w:rPr>
          <w:bCs/>
          <w:sz w:val="22"/>
          <w:szCs w:val="22"/>
        </w:rPr>
        <w:t xml:space="preserve">De </w:t>
      </w:r>
      <w:r w:rsidRPr="009B1587">
        <w:rPr>
          <w:sz w:val="22"/>
        </w:rPr>
        <w:t>acuerdo</w:t>
      </w:r>
      <w:r w:rsidRPr="009B1587">
        <w:rPr>
          <w:bCs/>
          <w:sz w:val="22"/>
          <w:szCs w:val="22"/>
        </w:rPr>
        <w:t xml:space="preserve"> con la recomendación</w:t>
      </w:r>
    </w:p>
    <w:p w14:paraId="1C04B714" w14:textId="77777777" w:rsidR="009B1587" w:rsidRPr="009B1587" w:rsidRDefault="009B1587" w:rsidP="009B1587">
      <w:pPr>
        <w:pStyle w:val="Prrafodelista"/>
        <w:jc w:val="both"/>
        <w:rPr>
          <w:bCs/>
          <w:sz w:val="22"/>
          <w:szCs w:val="22"/>
        </w:rPr>
      </w:pPr>
    </w:p>
    <w:p w14:paraId="16EABF97" w14:textId="0C64A5F6" w:rsidR="00FF02EC" w:rsidRDefault="00FF02EC" w:rsidP="00FF02EC">
      <w:pPr>
        <w:tabs>
          <w:tab w:val="left" w:pos="851"/>
        </w:tabs>
      </w:pPr>
    </w:p>
    <w:p w14:paraId="23D622A5" w14:textId="77777777" w:rsidR="00FA3DF3" w:rsidRDefault="00FA3DF3">
      <w:pPr>
        <w:spacing w:after="160" w:line="259" w:lineRule="auto"/>
        <w:rPr>
          <w:rFonts w:eastAsia="Calibri"/>
          <w:b/>
          <w:color w:val="385623" w:themeColor="accent6" w:themeShade="80"/>
        </w:rPr>
      </w:pPr>
      <w:r>
        <w:rPr>
          <w:rFonts w:eastAsia="Calibri"/>
          <w:b/>
          <w:color w:val="385623" w:themeColor="accent6" w:themeShade="80"/>
        </w:rPr>
        <w:br w:type="page"/>
      </w:r>
    </w:p>
    <w:p w14:paraId="2E06A7D7" w14:textId="31B6D34C" w:rsidR="00824FCD" w:rsidRPr="001F44F4" w:rsidRDefault="00824FCD" w:rsidP="003A7278">
      <w:pPr>
        <w:pStyle w:val="Ttulo3"/>
        <w:numPr>
          <w:ilvl w:val="1"/>
          <w:numId w:val="82"/>
        </w:numPr>
        <w:shd w:val="clear" w:color="auto" w:fill="D9D9D9" w:themeFill="background1" w:themeFillShade="D9"/>
        <w:rPr>
          <w:rFonts w:ascii="Times New Roman" w:hAnsi="Times New Roman" w:cs="Times New Roman"/>
          <w:b/>
          <w:color w:val="385623" w:themeColor="accent6" w:themeShade="80"/>
          <w:sz w:val="22"/>
        </w:rPr>
      </w:pPr>
      <w:bookmarkStart w:id="18" w:name="_Toc526516471"/>
      <w:r w:rsidRPr="001F44F4">
        <w:rPr>
          <w:rFonts w:ascii="Times New Roman" w:hAnsi="Times New Roman" w:cs="Times New Roman"/>
          <w:b/>
          <w:color w:val="385623" w:themeColor="accent6" w:themeShade="80"/>
          <w:sz w:val="22"/>
        </w:rPr>
        <w:lastRenderedPageBreak/>
        <w:t>Aspectos Financieros</w:t>
      </w:r>
      <w:bookmarkEnd w:id="18"/>
    </w:p>
    <w:p w14:paraId="057A9BB0" w14:textId="67DFB212" w:rsidR="003305BD" w:rsidRDefault="003305BD" w:rsidP="003305BD">
      <w:pPr>
        <w:rPr>
          <w:sz w:val="22"/>
        </w:rPr>
      </w:pPr>
    </w:p>
    <w:p w14:paraId="0BBF55DA" w14:textId="77777777" w:rsidR="001D10BF" w:rsidRDefault="001D10BF" w:rsidP="003305BD">
      <w:pPr>
        <w:rPr>
          <w:sz w:val="22"/>
        </w:rPr>
      </w:pPr>
    </w:p>
    <w:p w14:paraId="4BB350BB" w14:textId="595BBEBF" w:rsidR="003305BD" w:rsidRPr="001F44F4" w:rsidRDefault="003305BD" w:rsidP="003A7278">
      <w:pPr>
        <w:pStyle w:val="Ttulo4"/>
        <w:numPr>
          <w:ilvl w:val="2"/>
          <w:numId w:val="82"/>
        </w:numPr>
        <w:rPr>
          <w:rFonts w:ascii="Times New Roman" w:hAnsi="Times New Roman" w:cs="Times New Roman"/>
          <w:b/>
          <w:color w:val="385623" w:themeColor="accent6" w:themeShade="80"/>
          <w:sz w:val="22"/>
        </w:rPr>
      </w:pPr>
      <w:r w:rsidRPr="001F44F4">
        <w:rPr>
          <w:rFonts w:ascii="Times New Roman" w:hAnsi="Times New Roman" w:cs="Times New Roman"/>
          <w:b/>
          <w:color w:val="385623" w:themeColor="accent6" w:themeShade="80"/>
          <w:sz w:val="22"/>
        </w:rPr>
        <w:t>Valor estimado del proyecto</w:t>
      </w:r>
    </w:p>
    <w:p w14:paraId="392CECB4" w14:textId="77777777" w:rsidR="003305BD" w:rsidRPr="006B0BDA" w:rsidRDefault="003305BD" w:rsidP="001F44F4">
      <w:pPr>
        <w:ind w:left="284"/>
        <w:jc w:val="both"/>
        <w:rPr>
          <w:sz w:val="14"/>
          <w:szCs w:val="22"/>
        </w:rPr>
      </w:pPr>
    </w:p>
    <w:p w14:paraId="0B8175E8" w14:textId="1D0FAA38" w:rsidR="003305BD" w:rsidRPr="00D216BC" w:rsidRDefault="003305BD" w:rsidP="001F44F4">
      <w:pPr>
        <w:ind w:left="284"/>
        <w:jc w:val="both"/>
        <w:rPr>
          <w:sz w:val="22"/>
        </w:rPr>
      </w:pPr>
      <w:r w:rsidRPr="00D216BC">
        <w:rPr>
          <w:sz w:val="22"/>
        </w:rPr>
        <w:t>De acuerdo con el documento “Proyecto Complejo de la Salud de la Universidad de Antioquia”</w:t>
      </w:r>
      <w:r w:rsidR="00FD51CF">
        <w:rPr>
          <w:sz w:val="22"/>
        </w:rPr>
        <w:t xml:space="preserve"> de abril de </w:t>
      </w:r>
      <w:r w:rsidR="00CF5523">
        <w:rPr>
          <w:sz w:val="22"/>
        </w:rPr>
        <w:t>2018</w:t>
      </w:r>
      <w:r w:rsidRPr="00D216BC">
        <w:rPr>
          <w:sz w:val="22"/>
        </w:rPr>
        <w:t xml:space="preserve">, </w:t>
      </w:r>
      <w:r w:rsidR="00453004">
        <w:rPr>
          <w:sz w:val="22"/>
        </w:rPr>
        <w:t xml:space="preserve">a </w:t>
      </w:r>
      <w:r w:rsidR="001D10BF">
        <w:rPr>
          <w:sz w:val="22"/>
        </w:rPr>
        <w:t>continuación,</w:t>
      </w:r>
      <w:r w:rsidR="00453004">
        <w:rPr>
          <w:sz w:val="22"/>
        </w:rPr>
        <w:t xml:space="preserve"> se </w:t>
      </w:r>
      <w:r w:rsidR="008F324F">
        <w:rPr>
          <w:sz w:val="22"/>
        </w:rPr>
        <w:t xml:space="preserve">detallan </w:t>
      </w:r>
      <w:r w:rsidRPr="00D216BC">
        <w:rPr>
          <w:sz w:val="22"/>
        </w:rPr>
        <w:t>l</w:t>
      </w:r>
      <w:r w:rsidR="00453004">
        <w:rPr>
          <w:sz w:val="22"/>
        </w:rPr>
        <w:t>os</w:t>
      </w:r>
      <w:r w:rsidRPr="00D216BC">
        <w:rPr>
          <w:sz w:val="22"/>
        </w:rPr>
        <w:t xml:space="preserve"> valor</w:t>
      </w:r>
      <w:r w:rsidR="00453004">
        <w:rPr>
          <w:sz w:val="22"/>
        </w:rPr>
        <w:t>es</w:t>
      </w:r>
      <w:r w:rsidRPr="00D216BC">
        <w:rPr>
          <w:sz w:val="22"/>
        </w:rPr>
        <w:t xml:space="preserve"> </w:t>
      </w:r>
      <w:r w:rsidR="00453004">
        <w:rPr>
          <w:sz w:val="22"/>
        </w:rPr>
        <w:t>relacionados con e</w:t>
      </w:r>
      <w:r w:rsidRPr="00D216BC">
        <w:rPr>
          <w:sz w:val="22"/>
        </w:rPr>
        <w:t>l proyecto</w:t>
      </w:r>
      <w:r w:rsidR="00CF5523">
        <w:rPr>
          <w:sz w:val="22"/>
        </w:rPr>
        <w:t>:</w:t>
      </w:r>
    </w:p>
    <w:p w14:paraId="009507D2" w14:textId="77777777" w:rsidR="003305BD" w:rsidRPr="00366B1D" w:rsidRDefault="003305BD" w:rsidP="003305BD">
      <w:pPr>
        <w:rPr>
          <w:sz w:val="18"/>
        </w:rPr>
      </w:pPr>
    </w:p>
    <w:tbl>
      <w:tblPr>
        <w:tblW w:w="8505" w:type="dxa"/>
        <w:jc w:val="right"/>
        <w:tblCellMar>
          <w:left w:w="70" w:type="dxa"/>
          <w:right w:w="70" w:type="dxa"/>
        </w:tblCellMar>
        <w:tblLook w:val="04A0" w:firstRow="1" w:lastRow="0" w:firstColumn="1" w:lastColumn="0" w:noHBand="0" w:noVBand="1"/>
      </w:tblPr>
      <w:tblGrid>
        <w:gridCol w:w="2552"/>
        <w:gridCol w:w="1134"/>
        <w:gridCol w:w="1134"/>
        <w:gridCol w:w="567"/>
        <w:gridCol w:w="1134"/>
        <w:gridCol w:w="1015"/>
        <w:gridCol w:w="969"/>
      </w:tblGrid>
      <w:tr w:rsidR="00D216BC" w:rsidRPr="009F1435" w14:paraId="1A899B79" w14:textId="77777777" w:rsidTr="001F44F4">
        <w:trPr>
          <w:trHeight w:val="290"/>
          <w:jc w:val="right"/>
        </w:trPr>
        <w:tc>
          <w:tcPr>
            <w:tcW w:w="2552" w:type="dxa"/>
            <w:tcBorders>
              <w:top w:val="nil"/>
              <w:left w:val="nil"/>
              <w:bottom w:val="nil"/>
            </w:tcBorders>
            <w:shd w:val="clear" w:color="auto" w:fill="auto"/>
            <w:noWrap/>
            <w:vAlign w:val="center"/>
            <w:hideMark/>
          </w:tcPr>
          <w:p w14:paraId="7059C227" w14:textId="77777777" w:rsidR="00D216BC" w:rsidRPr="009F1435" w:rsidRDefault="00D216BC" w:rsidP="00385846">
            <w:pPr>
              <w:rPr>
                <w:sz w:val="14"/>
              </w:rPr>
            </w:pPr>
          </w:p>
        </w:tc>
        <w:tc>
          <w:tcPr>
            <w:tcW w:w="2268" w:type="dxa"/>
            <w:gridSpan w:val="2"/>
            <w:tcBorders>
              <w:bottom w:val="single" w:sz="4" w:space="0" w:color="auto"/>
            </w:tcBorders>
            <w:shd w:val="clear" w:color="auto" w:fill="auto"/>
            <w:noWrap/>
            <w:vAlign w:val="center"/>
            <w:hideMark/>
          </w:tcPr>
          <w:p w14:paraId="723EABAE" w14:textId="245AFF16" w:rsidR="00D216BC" w:rsidRPr="00D216BC" w:rsidRDefault="00D216BC" w:rsidP="00D216BC">
            <w:pPr>
              <w:jc w:val="center"/>
              <w:rPr>
                <w:b/>
                <w:color w:val="000000"/>
                <w:sz w:val="14"/>
              </w:rPr>
            </w:pPr>
            <w:r w:rsidRPr="00D216BC">
              <w:rPr>
                <w:b/>
                <w:color w:val="000000"/>
                <w:sz w:val="14"/>
              </w:rPr>
              <w:t>VALOR ESTIMADO DEL PROYECTO</w:t>
            </w:r>
          </w:p>
        </w:tc>
        <w:tc>
          <w:tcPr>
            <w:tcW w:w="567" w:type="dxa"/>
            <w:tcBorders>
              <w:bottom w:val="single" w:sz="4" w:space="0" w:color="auto"/>
              <w:right w:val="single" w:sz="4" w:space="0" w:color="auto"/>
            </w:tcBorders>
            <w:shd w:val="clear" w:color="auto" w:fill="auto"/>
            <w:noWrap/>
            <w:vAlign w:val="bottom"/>
            <w:hideMark/>
          </w:tcPr>
          <w:p w14:paraId="694D3855" w14:textId="77777777" w:rsidR="00D216BC" w:rsidRPr="009F1435" w:rsidRDefault="00D216BC" w:rsidP="00385846">
            <w:pPr>
              <w:rPr>
                <w:b/>
                <w:bCs/>
                <w:color w:val="000000"/>
                <w:sz w:val="14"/>
              </w:rPr>
            </w:pPr>
            <w:r w:rsidRPr="009F1435">
              <w:rPr>
                <w:b/>
                <w:bCs/>
                <w:color w:val="000000"/>
                <w:sz w:val="14"/>
              </w:rPr>
              <w:t> </w:t>
            </w:r>
          </w:p>
        </w:tc>
        <w:tc>
          <w:tcPr>
            <w:tcW w:w="21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76F41D" w14:textId="77777777" w:rsidR="00D216BC" w:rsidRPr="009F1435" w:rsidRDefault="00D216BC" w:rsidP="00385846">
            <w:pPr>
              <w:jc w:val="center"/>
              <w:rPr>
                <w:b/>
                <w:bCs/>
                <w:color w:val="000000"/>
                <w:sz w:val="14"/>
                <w:szCs w:val="18"/>
              </w:rPr>
            </w:pPr>
            <w:r w:rsidRPr="009F1435">
              <w:rPr>
                <w:b/>
                <w:bCs/>
                <w:color w:val="000000"/>
                <w:sz w:val="14"/>
                <w:szCs w:val="18"/>
              </w:rPr>
              <w:t>FUENTE DE FINANCIACIÓN</w:t>
            </w:r>
          </w:p>
        </w:tc>
        <w:tc>
          <w:tcPr>
            <w:tcW w:w="969" w:type="dxa"/>
            <w:tcBorders>
              <w:top w:val="nil"/>
              <w:left w:val="single" w:sz="4" w:space="0" w:color="auto"/>
              <w:bottom w:val="nil"/>
              <w:right w:val="nil"/>
            </w:tcBorders>
            <w:shd w:val="clear" w:color="auto" w:fill="auto"/>
            <w:vAlign w:val="center"/>
            <w:hideMark/>
          </w:tcPr>
          <w:p w14:paraId="387FD134" w14:textId="77777777" w:rsidR="00D216BC" w:rsidRPr="009F1435" w:rsidRDefault="00D216BC" w:rsidP="00385846">
            <w:pPr>
              <w:jc w:val="center"/>
              <w:rPr>
                <w:b/>
                <w:bCs/>
                <w:color w:val="000000"/>
                <w:sz w:val="14"/>
                <w:szCs w:val="18"/>
              </w:rPr>
            </w:pPr>
          </w:p>
        </w:tc>
      </w:tr>
      <w:tr w:rsidR="003305BD" w:rsidRPr="009F1435" w14:paraId="39B85ACA" w14:textId="77777777" w:rsidTr="001F44F4">
        <w:trPr>
          <w:trHeight w:val="290"/>
          <w:jc w:val="right"/>
        </w:trPr>
        <w:tc>
          <w:tcPr>
            <w:tcW w:w="2552" w:type="dxa"/>
            <w:tcBorders>
              <w:top w:val="nil"/>
              <w:left w:val="nil"/>
              <w:bottom w:val="nil"/>
              <w:right w:val="nil"/>
            </w:tcBorders>
            <w:shd w:val="clear" w:color="auto" w:fill="auto"/>
            <w:noWrap/>
            <w:vAlign w:val="center"/>
            <w:hideMark/>
          </w:tcPr>
          <w:p w14:paraId="2C1E33CB" w14:textId="77777777" w:rsidR="003305BD" w:rsidRPr="009F1435" w:rsidRDefault="003305BD" w:rsidP="00385846">
            <w:pPr>
              <w:rPr>
                <w:sz w:val="14"/>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5CD7D" w14:textId="7839A1C4" w:rsidR="003305BD" w:rsidRPr="00D216BC" w:rsidRDefault="00D216BC" w:rsidP="00D216BC">
            <w:pPr>
              <w:jc w:val="center"/>
              <w:rPr>
                <w:b/>
                <w:i/>
                <w:color w:val="000000"/>
                <w:sz w:val="14"/>
              </w:rPr>
            </w:pPr>
            <w:r w:rsidRPr="00D216BC">
              <w:rPr>
                <w:b/>
                <w:i/>
                <w:color w:val="000000"/>
                <w:sz w:val="14"/>
              </w:rPr>
              <w:t>Parcial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298E69C" w14:textId="5B6D98CC" w:rsidR="003305BD" w:rsidRPr="00D216BC" w:rsidRDefault="00D216BC" w:rsidP="00D216BC">
            <w:pPr>
              <w:jc w:val="center"/>
              <w:rPr>
                <w:b/>
                <w:i/>
                <w:color w:val="000000"/>
                <w:sz w:val="14"/>
              </w:rPr>
            </w:pPr>
            <w:r w:rsidRPr="00D216BC">
              <w:rPr>
                <w:b/>
                <w:i/>
                <w:color w:val="000000"/>
                <w:sz w:val="14"/>
              </w:rPr>
              <w:t>Total</w:t>
            </w:r>
          </w:p>
        </w:tc>
        <w:tc>
          <w:tcPr>
            <w:tcW w:w="567" w:type="dxa"/>
            <w:tcBorders>
              <w:top w:val="single" w:sz="4" w:space="0" w:color="auto"/>
              <w:left w:val="nil"/>
              <w:bottom w:val="single" w:sz="4" w:space="0" w:color="auto"/>
              <w:right w:val="nil"/>
            </w:tcBorders>
            <w:shd w:val="clear" w:color="auto" w:fill="auto"/>
            <w:noWrap/>
            <w:vAlign w:val="bottom"/>
            <w:hideMark/>
          </w:tcPr>
          <w:p w14:paraId="1ED3E356" w14:textId="77777777" w:rsidR="003305BD" w:rsidRPr="009F1435" w:rsidRDefault="003305BD" w:rsidP="00385846">
            <w:pPr>
              <w:rPr>
                <w:b/>
                <w:bCs/>
                <w:color w:val="000000"/>
                <w:sz w:val="14"/>
              </w:rPr>
            </w:pPr>
            <w:r w:rsidRPr="009F1435">
              <w:rPr>
                <w:b/>
                <w:bCs/>
                <w:color w:val="000000"/>
                <w:sz w:val="14"/>
              </w:rPr>
              <w:t> </w:t>
            </w:r>
          </w:p>
        </w:tc>
        <w:tc>
          <w:tcPr>
            <w:tcW w:w="1134"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41C52CF7" w14:textId="77777777" w:rsidR="003305BD" w:rsidRPr="009F1435" w:rsidRDefault="003305BD" w:rsidP="00385846">
            <w:pPr>
              <w:jc w:val="center"/>
              <w:rPr>
                <w:b/>
                <w:bCs/>
                <w:i/>
                <w:iCs/>
                <w:color w:val="000000"/>
                <w:sz w:val="14"/>
                <w:szCs w:val="16"/>
              </w:rPr>
            </w:pPr>
            <w:r w:rsidRPr="009F1435">
              <w:rPr>
                <w:b/>
                <w:bCs/>
                <w:i/>
                <w:iCs/>
                <w:color w:val="000000"/>
                <w:sz w:val="14"/>
                <w:szCs w:val="16"/>
              </w:rPr>
              <w:t xml:space="preserve">Recursos de Crédito </w:t>
            </w:r>
          </w:p>
        </w:tc>
        <w:tc>
          <w:tcPr>
            <w:tcW w:w="1015" w:type="dxa"/>
            <w:tcBorders>
              <w:top w:val="single" w:sz="4" w:space="0" w:color="auto"/>
              <w:left w:val="nil"/>
              <w:bottom w:val="single" w:sz="4" w:space="0" w:color="auto"/>
              <w:right w:val="single" w:sz="4" w:space="0" w:color="auto"/>
            </w:tcBorders>
            <w:shd w:val="clear" w:color="000000" w:fill="E2EFDA"/>
            <w:vAlign w:val="center"/>
            <w:hideMark/>
          </w:tcPr>
          <w:p w14:paraId="445AC796" w14:textId="77777777" w:rsidR="003305BD" w:rsidRPr="009F1435" w:rsidRDefault="003305BD" w:rsidP="00385846">
            <w:pPr>
              <w:jc w:val="center"/>
              <w:rPr>
                <w:b/>
                <w:bCs/>
                <w:i/>
                <w:iCs/>
                <w:color w:val="000000"/>
                <w:sz w:val="14"/>
                <w:szCs w:val="16"/>
              </w:rPr>
            </w:pPr>
            <w:r w:rsidRPr="009F1435">
              <w:rPr>
                <w:b/>
                <w:bCs/>
                <w:i/>
                <w:iCs/>
                <w:color w:val="000000"/>
                <w:sz w:val="14"/>
                <w:szCs w:val="16"/>
              </w:rPr>
              <w:t>Recursos</w:t>
            </w:r>
          </w:p>
          <w:p w14:paraId="69A7A6BF" w14:textId="77777777" w:rsidR="003305BD" w:rsidRPr="009F1435" w:rsidRDefault="003305BD" w:rsidP="00385846">
            <w:pPr>
              <w:jc w:val="center"/>
              <w:rPr>
                <w:b/>
                <w:bCs/>
                <w:i/>
                <w:iCs/>
                <w:color w:val="000000"/>
                <w:sz w:val="14"/>
                <w:szCs w:val="16"/>
              </w:rPr>
            </w:pPr>
            <w:r w:rsidRPr="009F1435">
              <w:rPr>
                <w:b/>
                <w:bCs/>
                <w:i/>
                <w:iCs/>
                <w:color w:val="000000"/>
                <w:sz w:val="14"/>
                <w:szCs w:val="16"/>
              </w:rPr>
              <w:t>Propios</w:t>
            </w:r>
          </w:p>
        </w:tc>
        <w:tc>
          <w:tcPr>
            <w:tcW w:w="969" w:type="dxa"/>
            <w:tcBorders>
              <w:top w:val="nil"/>
              <w:left w:val="nil"/>
              <w:bottom w:val="nil"/>
              <w:right w:val="nil"/>
            </w:tcBorders>
            <w:shd w:val="clear" w:color="auto" w:fill="auto"/>
            <w:vAlign w:val="center"/>
            <w:hideMark/>
          </w:tcPr>
          <w:p w14:paraId="5FB4E4BF" w14:textId="77777777" w:rsidR="003305BD" w:rsidRPr="009F1435" w:rsidRDefault="003305BD" w:rsidP="00385846">
            <w:pPr>
              <w:jc w:val="center"/>
              <w:rPr>
                <w:b/>
                <w:bCs/>
                <w:i/>
                <w:iCs/>
                <w:color w:val="000000"/>
                <w:sz w:val="14"/>
                <w:szCs w:val="16"/>
              </w:rPr>
            </w:pPr>
          </w:p>
        </w:tc>
      </w:tr>
      <w:tr w:rsidR="003305BD" w:rsidRPr="009F1435" w14:paraId="6C621C7D" w14:textId="77777777" w:rsidTr="001F44F4">
        <w:trPr>
          <w:trHeight w:val="445"/>
          <w:jc w:val="right"/>
        </w:trPr>
        <w:tc>
          <w:tcPr>
            <w:tcW w:w="2552" w:type="dxa"/>
            <w:tcBorders>
              <w:top w:val="single" w:sz="4" w:space="0" w:color="auto"/>
              <w:left w:val="single" w:sz="4" w:space="0" w:color="auto"/>
              <w:bottom w:val="nil"/>
              <w:right w:val="nil"/>
            </w:tcBorders>
            <w:shd w:val="clear" w:color="000000" w:fill="E2EFDA"/>
            <w:noWrap/>
            <w:vAlign w:val="center"/>
            <w:hideMark/>
          </w:tcPr>
          <w:p w14:paraId="707FC455" w14:textId="77777777" w:rsidR="003305BD" w:rsidRPr="009F1435" w:rsidRDefault="003305BD" w:rsidP="00385846">
            <w:pPr>
              <w:rPr>
                <w:b/>
                <w:bCs/>
                <w:color w:val="000000"/>
                <w:sz w:val="14"/>
              </w:rPr>
            </w:pPr>
            <w:r w:rsidRPr="009F1435">
              <w:rPr>
                <w:b/>
                <w:bCs/>
                <w:color w:val="000000"/>
                <w:sz w:val="14"/>
              </w:rPr>
              <w:t>PREINVERSIÓN</w:t>
            </w:r>
          </w:p>
        </w:tc>
        <w:tc>
          <w:tcPr>
            <w:tcW w:w="1134" w:type="dxa"/>
            <w:tcBorders>
              <w:top w:val="single" w:sz="4" w:space="0" w:color="auto"/>
              <w:left w:val="single" w:sz="4" w:space="0" w:color="auto"/>
              <w:bottom w:val="nil"/>
              <w:right w:val="single" w:sz="4" w:space="0" w:color="auto"/>
            </w:tcBorders>
            <w:shd w:val="clear" w:color="000000" w:fill="E2EFDA"/>
            <w:noWrap/>
            <w:vAlign w:val="center"/>
            <w:hideMark/>
          </w:tcPr>
          <w:p w14:paraId="709BDF9F" w14:textId="77777777" w:rsidR="003305BD" w:rsidRPr="009F1435" w:rsidRDefault="003305BD" w:rsidP="00385846">
            <w:pPr>
              <w:jc w:val="right"/>
              <w:rPr>
                <w:color w:val="000000"/>
                <w:sz w:val="14"/>
              </w:rPr>
            </w:pPr>
            <w:r w:rsidRPr="009F1435">
              <w:rPr>
                <w:color w:val="000000"/>
                <w:sz w:val="14"/>
              </w:rPr>
              <w:t> </w:t>
            </w:r>
          </w:p>
        </w:tc>
        <w:tc>
          <w:tcPr>
            <w:tcW w:w="1134" w:type="dxa"/>
            <w:tcBorders>
              <w:top w:val="single" w:sz="4" w:space="0" w:color="auto"/>
              <w:left w:val="nil"/>
              <w:bottom w:val="nil"/>
              <w:right w:val="single" w:sz="4" w:space="0" w:color="auto"/>
            </w:tcBorders>
            <w:shd w:val="clear" w:color="000000" w:fill="E2EFDA"/>
            <w:noWrap/>
            <w:vAlign w:val="center"/>
            <w:hideMark/>
          </w:tcPr>
          <w:p w14:paraId="26DEC296" w14:textId="77777777" w:rsidR="003305BD" w:rsidRPr="009F1435" w:rsidRDefault="003305BD" w:rsidP="00385846">
            <w:pPr>
              <w:jc w:val="right"/>
              <w:rPr>
                <w:b/>
                <w:bCs/>
                <w:color w:val="000000"/>
                <w:sz w:val="14"/>
              </w:rPr>
            </w:pPr>
            <w:r w:rsidRPr="009F1435">
              <w:rPr>
                <w:b/>
                <w:bCs/>
                <w:color w:val="000000"/>
                <w:sz w:val="14"/>
              </w:rPr>
              <w:t xml:space="preserve">12.564.632.074 </w:t>
            </w:r>
          </w:p>
        </w:tc>
        <w:tc>
          <w:tcPr>
            <w:tcW w:w="567" w:type="dxa"/>
            <w:tcBorders>
              <w:top w:val="single" w:sz="4" w:space="0" w:color="auto"/>
              <w:left w:val="nil"/>
              <w:bottom w:val="nil"/>
              <w:right w:val="nil"/>
            </w:tcBorders>
            <w:shd w:val="clear" w:color="000000" w:fill="E2EFDA"/>
            <w:noWrap/>
            <w:vAlign w:val="center"/>
            <w:hideMark/>
          </w:tcPr>
          <w:p w14:paraId="4ADBB6A7" w14:textId="77777777" w:rsidR="003305BD" w:rsidRPr="009F1435" w:rsidRDefault="003305BD" w:rsidP="00385846">
            <w:pPr>
              <w:jc w:val="right"/>
              <w:rPr>
                <w:b/>
                <w:bCs/>
                <w:color w:val="000000"/>
                <w:sz w:val="14"/>
              </w:rPr>
            </w:pPr>
            <w:r w:rsidRPr="009F1435">
              <w:rPr>
                <w:b/>
                <w:bCs/>
                <w:color w:val="000000"/>
                <w:sz w:val="14"/>
              </w:rPr>
              <w:t>5%</w:t>
            </w:r>
          </w:p>
        </w:tc>
        <w:tc>
          <w:tcPr>
            <w:tcW w:w="1134" w:type="dxa"/>
            <w:tcBorders>
              <w:top w:val="nil"/>
              <w:left w:val="single" w:sz="4" w:space="0" w:color="auto"/>
              <w:bottom w:val="nil"/>
              <w:right w:val="nil"/>
            </w:tcBorders>
            <w:shd w:val="clear" w:color="000000" w:fill="E2EFDA"/>
            <w:noWrap/>
            <w:vAlign w:val="center"/>
            <w:hideMark/>
          </w:tcPr>
          <w:p w14:paraId="69FB0D6A" w14:textId="77777777" w:rsidR="003305BD" w:rsidRPr="009F1435" w:rsidRDefault="003305BD" w:rsidP="00385846">
            <w:pPr>
              <w:jc w:val="right"/>
              <w:rPr>
                <w:color w:val="000000"/>
                <w:sz w:val="14"/>
              </w:rPr>
            </w:pPr>
            <w:r w:rsidRPr="009F1435">
              <w:rPr>
                <w:color w:val="000000"/>
                <w:sz w:val="14"/>
              </w:rPr>
              <w:t> </w:t>
            </w:r>
          </w:p>
        </w:tc>
        <w:tc>
          <w:tcPr>
            <w:tcW w:w="1015" w:type="dxa"/>
            <w:tcBorders>
              <w:top w:val="nil"/>
              <w:left w:val="nil"/>
              <w:bottom w:val="nil"/>
              <w:right w:val="single" w:sz="4" w:space="0" w:color="auto"/>
            </w:tcBorders>
            <w:shd w:val="clear" w:color="000000" w:fill="E2EFDA"/>
            <w:noWrap/>
            <w:vAlign w:val="center"/>
            <w:hideMark/>
          </w:tcPr>
          <w:p w14:paraId="5F3E9929" w14:textId="77777777" w:rsidR="003305BD" w:rsidRPr="009F1435" w:rsidRDefault="003305BD" w:rsidP="00385846">
            <w:pPr>
              <w:jc w:val="right"/>
              <w:rPr>
                <w:color w:val="000000"/>
                <w:sz w:val="14"/>
              </w:rPr>
            </w:pPr>
            <w:r w:rsidRPr="009F1435">
              <w:rPr>
                <w:color w:val="000000"/>
                <w:sz w:val="14"/>
              </w:rPr>
              <w:t> </w:t>
            </w:r>
          </w:p>
        </w:tc>
        <w:tc>
          <w:tcPr>
            <w:tcW w:w="969" w:type="dxa"/>
            <w:tcBorders>
              <w:top w:val="nil"/>
              <w:left w:val="nil"/>
              <w:bottom w:val="nil"/>
              <w:right w:val="nil"/>
            </w:tcBorders>
            <w:shd w:val="clear" w:color="auto" w:fill="auto"/>
            <w:vAlign w:val="center"/>
            <w:hideMark/>
          </w:tcPr>
          <w:p w14:paraId="7F86AB2F" w14:textId="77777777" w:rsidR="003305BD" w:rsidRPr="009F1435" w:rsidRDefault="003305BD" w:rsidP="00385846">
            <w:pPr>
              <w:rPr>
                <w:color w:val="000000"/>
                <w:sz w:val="14"/>
              </w:rPr>
            </w:pPr>
          </w:p>
        </w:tc>
      </w:tr>
      <w:tr w:rsidR="003305BD" w:rsidRPr="009F1435" w14:paraId="7A81855A" w14:textId="77777777" w:rsidTr="001F44F4">
        <w:trPr>
          <w:trHeight w:val="227"/>
          <w:jc w:val="right"/>
        </w:trPr>
        <w:tc>
          <w:tcPr>
            <w:tcW w:w="2552" w:type="dxa"/>
            <w:tcBorders>
              <w:top w:val="nil"/>
              <w:left w:val="single" w:sz="4" w:space="0" w:color="auto"/>
              <w:bottom w:val="nil"/>
              <w:right w:val="nil"/>
            </w:tcBorders>
            <w:shd w:val="clear" w:color="auto" w:fill="auto"/>
            <w:noWrap/>
            <w:vAlign w:val="center"/>
            <w:hideMark/>
          </w:tcPr>
          <w:p w14:paraId="0AEBCF57" w14:textId="77777777" w:rsidR="003305BD" w:rsidRPr="009F1435" w:rsidRDefault="003305BD" w:rsidP="00385846">
            <w:pPr>
              <w:rPr>
                <w:color w:val="000000"/>
                <w:sz w:val="14"/>
                <w:szCs w:val="20"/>
              </w:rPr>
            </w:pPr>
            <w:r w:rsidRPr="009F1435">
              <w:rPr>
                <w:color w:val="000000"/>
                <w:sz w:val="14"/>
                <w:szCs w:val="20"/>
              </w:rPr>
              <w:t>1. PRELIMINARES Y TRASLADOS (SUBPROYECTOS)</w:t>
            </w:r>
          </w:p>
        </w:tc>
        <w:tc>
          <w:tcPr>
            <w:tcW w:w="1134" w:type="dxa"/>
            <w:tcBorders>
              <w:top w:val="nil"/>
              <w:left w:val="single" w:sz="4" w:space="0" w:color="auto"/>
              <w:bottom w:val="nil"/>
              <w:right w:val="single" w:sz="4" w:space="0" w:color="auto"/>
            </w:tcBorders>
            <w:shd w:val="clear" w:color="auto" w:fill="auto"/>
            <w:noWrap/>
            <w:vAlign w:val="center"/>
            <w:hideMark/>
          </w:tcPr>
          <w:p w14:paraId="137DEDB0" w14:textId="77777777" w:rsidR="003305BD" w:rsidRPr="009F1435" w:rsidRDefault="003305BD" w:rsidP="00385846">
            <w:pPr>
              <w:jc w:val="right"/>
              <w:rPr>
                <w:color w:val="000000"/>
                <w:sz w:val="14"/>
              </w:rPr>
            </w:pPr>
            <w:r w:rsidRPr="009F1435">
              <w:rPr>
                <w:color w:val="000000"/>
                <w:sz w:val="14"/>
              </w:rPr>
              <w:t xml:space="preserve">4.633.249.040 </w:t>
            </w:r>
          </w:p>
        </w:tc>
        <w:tc>
          <w:tcPr>
            <w:tcW w:w="1134" w:type="dxa"/>
            <w:tcBorders>
              <w:top w:val="nil"/>
              <w:left w:val="nil"/>
              <w:bottom w:val="nil"/>
              <w:right w:val="single" w:sz="4" w:space="0" w:color="auto"/>
            </w:tcBorders>
            <w:shd w:val="clear" w:color="auto" w:fill="auto"/>
            <w:noWrap/>
            <w:vAlign w:val="center"/>
            <w:hideMark/>
          </w:tcPr>
          <w:p w14:paraId="61142B70" w14:textId="77777777" w:rsidR="003305BD" w:rsidRPr="009F1435" w:rsidRDefault="003305BD" w:rsidP="00385846">
            <w:pPr>
              <w:jc w:val="right"/>
              <w:rPr>
                <w:color w:val="000000"/>
                <w:sz w:val="14"/>
              </w:rPr>
            </w:pPr>
            <w:r w:rsidRPr="009F1435">
              <w:rPr>
                <w:color w:val="000000"/>
                <w:sz w:val="14"/>
              </w:rPr>
              <w:t> </w:t>
            </w:r>
          </w:p>
        </w:tc>
        <w:tc>
          <w:tcPr>
            <w:tcW w:w="567" w:type="dxa"/>
            <w:tcBorders>
              <w:top w:val="nil"/>
              <w:left w:val="nil"/>
              <w:bottom w:val="nil"/>
              <w:right w:val="nil"/>
            </w:tcBorders>
            <w:shd w:val="clear" w:color="auto" w:fill="auto"/>
            <w:noWrap/>
            <w:vAlign w:val="center"/>
            <w:hideMark/>
          </w:tcPr>
          <w:p w14:paraId="5DD351DC" w14:textId="77777777" w:rsidR="003305BD" w:rsidRPr="009F1435" w:rsidRDefault="003305BD" w:rsidP="00385846">
            <w:pPr>
              <w:jc w:val="right"/>
              <w:rPr>
                <w:b/>
                <w:bCs/>
                <w:color w:val="000000"/>
                <w:sz w:val="14"/>
              </w:rPr>
            </w:pPr>
          </w:p>
        </w:tc>
        <w:tc>
          <w:tcPr>
            <w:tcW w:w="1134" w:type="dxa"/>
            <w:tcBorders>
              <w:top w:val="nil"/>
              <w:left w:val="single" w:sz="4" w:space="0" w:color="auto"/>
              <w:bottom w:val="nil"/>
              <w:right w:val="nil"/>
            </w:tcBorders>
            <w:shd w:val="clear" w:color="auto" w:fill="auto"/>
            <w:noWrap/>
            <w:vAlign w:val="center"/>
            <w:hideMark/>
          </w:tcPr>
          <w:p w14:paraId="0EF84D86" w14:textId="77777777" w:rsidR="003305BD" w:rsidRPr="009F1435" w:rsidRDefault="003305BD" w:rsidP="00385846">
            <w:pPr>
              <w:jc w:val="right"/>
              <w:rPr>
                <w:color w:val="000000"/>
                <w:sz w:val="14"/>
              </w:rPr>
            </w:pPr>
            <w:r w:rsidRPr="009F1435">
              <w:rPr>
                <w:color w:val="000000"/>
                <w:sz w:val="14"/>
              </w:rPr>
              <w:t> </w:t>
            </w:r>
          </w:p>
        </w:tc>
        <w:tc>
          <w:tcPr>
            <w:tcW w:w="1015" w:type="dxa"/>
            <w:tcBorders>
              <w:top w:val="nil"/>
              <w:left w:val="nil"/>
              <w:bottom w:val="nil"/>
              <w:right w:val="single" w:sz="4" w:space="0" w:color="auto"/>
            </w:tcBorders>
            <w:shd w:val="clear" w:color="auto" w:fill="auto"/>
            <w:noWrap/>
            <w:vAlign w:val="center"/>
            <w:hideMark/>
          </w:tcPr>
          <w:p w14:paraId="66C2D708" w14:textId="77777777" w:rsidR="003305BD" w:rsidRPr="009F1435" w:rsidRDefault="003305BD" w:rsidP="00385846">
            <w:pPr>
              <w:jc w:val="right"/>
              <w:rPr>
                <w:color w:val="000000"/>
                <w:sz w:val="14"/>
              </w:rPr>
            </w:pPr>
            <w:r w:rsidRPr="009F1435">
              <w:rPr>
                <w:color w:val="000000"/>
                <w:sz w:val="14"/>
              </w:rPr>
              <w:t xml:space="preserve">4.633.249.040 </w:t>
            </w:r>
          </w:p>
        </w:tc>
        <w:tc>
          <w:tcPr>
            <w:tcW w:w="969" w:type="dxa"/>
            <w:tcBorders>
              <w:top w:val="nil"/>
              <w:left w:val="nil"/>
              <w:bottom w:val="nil"/>
              <w:right w:val="nil"/>
            </w:tcBorders>
            <w:shd w:val="clear" w:color="auto" w:fill="auto"/>
            <w:vAlign w:val="center"/>
            <w:hideMark/>
          </w:tcPr>
          <w:p w14:paraId="5BC04770" w14:textId="77777777" w:rsidR="003305BD" w:rsidRPr="009F1435" w:rsidRDefault="003305BD" w:rsidP="00385846">
            <w:pPr>
              <w:rPr>
                <w:color w:val="000000"/>
                <w:sz w:val="14"/>
              </w:rPr>
            </w:pPr>
          </w:p>
        </w:tc>
      </w:tr>
      <w:tr w:rsidR="003305BD" w:rsidRPr="009F1435" w14:paraId="5E31E1E8" w14:textId="77777777" w:rsidTr="001F44F4">
        <w:trPr>
          <w:trHeight w:val="227"/>
          <w:jc w:val="right"/>
        </w:trPr>
        <w:tc>
          <w:tcPr>
            <w:tcW w:w="2552" w:type="dxa"/>
            <w:tcBorders>
              <w:top w:val="nil"/>
              <w:left w:val="single" w:sz="4" w:space="0" w:color="auto"/>
              <w:bottom w:val="nil"/>
              <w:right w:val="nil"/>
            </w:tcBorders>
            <w:shd w:val="clear" w:color="auto" w:fill="auto"/>
            <w:noWrap/>
            <w:vAlign w:val="center"/>
            <w:hideMark/>
          </w:tcPr>
          <w:p w14:paraId="55E5BC97" w14:textId="77777777" w:rsidR="003305BD" w:rsidRPr="009F1435" w:rsidRDefault="003305BD" w:rsidP="00385846">
            <w:pPr>
              <w:rPr>
                <w:color w:val="000000"/>
                <w:sz w:val="14"/>
                <w:szCs w:val="20"/>
              </w:rPr>
            </w:pPr>
            <w:r w:rsidRPr="009F1435">
              <w:rPr>
                <w:color w:val="000000"/>
                <w:sz w:val="14"/>
                <w:szCs w:val="20"/>
              </w:rPr>
              <w:t>2. DISEÑOS</w:t>
            </w:r>
          </w:p>
        </w:tc>
        <w:tc>
          <w:tcPr>
            <w:tcW w:w="1134" w:type="dxa"/>
            <w:tcBorders>
              <w:top w:val="nil"/>
              <w:left w:val="single" w:sz="4" w:space="0" w:color="auto"/>
              <w:bottom w:val="nil"/>
              <w:right w:val="single" w:sz="4" w:space="0" w:color="auto"/>
            </w:tcBorders>
            <w:shd w:val="clear" w:color="auto" w:fill="auto"/>
            <w:noWrap/>
            <w:vAlign w:val="center"/>
            <w:hideMark/>
          </w:tcPr>
          <w:p w14:paraId="6980C019" w14:textId="77777777" w:rsidR="003305BD" w:rsidRPr="009F1435" w:rsidRDefault="003305BD" w:rsidP="00385846">
            <w:pPr>
              <w:jc w:val="right"/>
              <w:rPr>
                <w:color w:val="000000"/>
                <w:sz w:val="14"/>
              </w:rPr>
            </w:pPr>
            <w:r w:rsidRPr="009F1435">
              <w:rPr>
                <w:color w:val="000000"/>
                <w:sz w:val="14"/>
              </w:rPr>
              <w:t xml:space="preserve">6.431.017.826 </w:t>
            </w:r>
          </w:p>
        </w:tc>
        <w:tc>
          <w:tcPr>
            <w:tcW w:w="1134" w:type="dxa"/>
            <w:tcBorders>
              <w:top w:val="nil"/>
              <w:left w:val="nil"/>
              <w:bottom w:val="nil"/>
              <w:right w:val="single" w:sz="4" w:space="0" w:color="auto"/>
            </w:tcBorders>
            <w:shd w:val="clear" w:color="auto" w:fill="auto"/>
            <w:noWrap/>
            <w:vAlign w:val="center"/>
            <w:hideMark/>
          </w:tcPr>
          <w:p w14:paraId="0B5677B8" w14:textId="77777777" w:rsidR="003305BD" w:rsidRPr="009F1435" w:rsidRDefault="003305BD" w:rsidP="00385846">
            <w:pPr>
              <w:jc w:val="right"/>
              <w:rPr>
                <w:color w:val="000000"/>
                <w:sz w:val="14"/>
              </w:rPr>
            </w:pPr>
            <w:r w:rsidRPr="009F1435">
              <w:rPr>
                <w:color w:val="000000"/>
                <w:sz w:val="14"/>
              </w:rPr>
              <w:t> </w:t>
            </w:r>
          </w:p>
        </w:tc>
        <w:tc>
          <w:tcPr>
            <w:tcW w:w="567" w:type="dxa"/>
            <w:tcBorders>
              <w:top w:val="nil"/>
              <w:left w:val="nil"/>
              <w:bottom w:val="nil"/>
              <w:right w:val="nil"/>
            </w:tcBorders>
            <w:shd w:val="clear" w:color="auto" w:fill="auto"/>
            <w:noWrap/>
            <w:vAlign w:val="center"/>
            <w:hideMark/>
          </w:tcPr>
          <w:p w14:paraId="0F3B9242" w14:textId="77777777" w:rsidR="003305BD" w:rsidRPr="009F1435" w:rsidRDefault="003305BD" w:rsidP="00385846">
            <w:pPr>
              <w:jc w:val="right"/>
              <w:rPr>
                <w:b/>
                <w:bCs/>
                <w:color w:val="000000"/>
                <w:sz w:val="14"/>
              </w:rPr>
            </w:pPr>
          </w:p>
        </w:tc>
        <w:tc>
          <w:tcPr>
            <w:tcW w:w="1134" w:type="dxa"/>
            <w:tcBorders>
              <w:top w:val="nil"/>
              <w:left w:val="single" w:sz="4" w:space="0" w:color="auto"/>
              <w:bottom w:val="nil"/>
              <w:right w:val="nil"/>
            </w:tcBorders>
            <w:shd w:val="clear" w:color="auto" w:fill="auto"/>
            <w:noWrap/>
            <w:vAlign w:val="center"/>
            <w:hideMark/>
          </w:tcPr>
          <w:p w14:paraId="7B669B3B" w14:textId="77777777" w:rsidR="003305BD" w:rsidRPr="009F1435" w:rsidRDefault="003305BD" w:rsidP="00385846">
            <w:pPr>
              <w:jc w:val="right"/>
              <w:rPr>
                <w:color w:val="000000"/>
                <w:sz w:val="14"/>
              </w:rPr>
            </w:pPr>
            <w:r w:rsidRPr="009F1435">
              <w:rPr>
                <w:color w:val="000000"/>
                <w:sz w:val="14"/>
              </w:rPr>
              <w:t> </w:t>
            </w:r>
          </w:p>
        </w:tc>
        <w:tc>
          <w:tcPr>
            <w:tcW w:w="1015" w:type="dxa"/>
            <w:tcBorders>
              <w:top w:val="single" w:sz="4" w:space="0" w:color="auto"/>
              <w:left w:val="single" w:sz="4" w:space="0" w:color="auto"/>
              <w:bottom w:val="nil"/>
              <w:right w:val="single" w:sz="4" w:space="0" w:color="auto"/>
            </w:tcBorders>
            <w:shd w:val="clear" w:color="000000" w:fill="EDEDED"/>
            <w:noWrap/>
            <w:vAlign w:val="center"/>
            <w:hideMark/>
          </w:tcPr>
          <w:p w14:paraId="2A5E1B8C" w14:textId="77777777" w:rsidR="003305BD" w:rsidRPr="009F1435" w:rsidRDefault="003305BD" w:rsidP="00385846">
            <w:pPr>
              <w:jc w:val="right"/>
              <w:rPr>
                <w:color w:val="000000"/>
                <w:sz w:val="14"/>
              </w:rPr>
            </w:pPr>
            <w:r w:rsidRPr="009F1435">
              <w:rPr>
                <w:color w:val="000000"/>
                <w:sz w:val="14"/>
              </w:rPr>
              <w:t xml:space="preserve">6.431.017.826 </w:t>
            </w:r>
          </w:p>
        </w:tc>
        <w:tc>
          <w:tcPr>
            <w:tcW w:w="969" w:type="dxa"/>
            <w:vMerge w:val="restart"/>
            <w:tcBorders>
              <w:top w:val="single" w:sz="4" w:space="0" w:color="auto"/>
              <w:left w:val="nil"/>
              <w:bottom w:val="single" w:sz="4" w:space="0" w:color="000000"/>
              <w:right w:val="single" w:sz="4" w:space="0" w:color="auto"/>
            </w:tcBorders>
            <w:shd w:val="clear" w:color="000000" w:fill="EDEDED"/>
            <w:noWrap/>
            <w:vAlign w:val="center"/>
            <w:hideMark/>
          </w:tcPr>
          <w:p w14:paraId="7753A019" w14:textId="77777777" w:rsidR="003305BD" w:rsidRPr="009F1435" w:rsidRDefault="003305BD" w:rsidP="00385846">
            <w:pPr>
              <w:jc w:val="right"/>
              <w:rPr>
                <w:color w:val="000000"/>
                <w:sz w:val="14"/>
              </w:rPr>
            </w:pPr>
            <w:r w:rsidRPr="009F1435">
              <w:rPr>
                <w:color w:val="000000"/>
                <w:sz w:val="14"/>
              </w:rPr>
              <w:t xml:space="preserve">6.999.999.999 </w:t>
            </w:r>
          </w:p>
        </w:tc>
      </w:tr>
      <w:tr w:rsidR="003305BD" w:rsidRPr="009F1435" w14:paraId="104AD7F2" w14:textId="77777777" w:rsidTr="001F44F4">
        <w:trPr>
          <w:trHeight w:val="227"/>
          <w:jc w:val="right"/>
        </w:trPr>
        <w:tc>
          <w:tcPr>
            <w:tcW w:w="2552" w:type="dxa"/>
            <w:tcBorders>
              <w:top w:val="nil"/>
              <w:left w:val="single" w:sz="4" w:space="0" w:color="auto"/>
              <w:bottom w:val="single" w:sz="4" w:space="0" w:color="auto"/>
              <w:right w:val="nil"/>
            </w:tcBorders>
            <w:shd w:val="clear" w:color="auto" w:fill="auto"/>
            <w:noWrap/>
            <w:vAlign w:val="center"/>
            <w:hideMark/>
          </w:tcPr>
          <w:p w14:paraId="3AB460D1" w14:textId="77777777" w:rsidR="003305BD" w:rsidRPr="009F1435" w:rsidRDefault="003305BD" w:rsidP="00385846">
            <w:pPr>
              <w:rPr>
                <w:color w:val="000000"/>
                <w:sz w:val="14"/>
                <w:szCs w:val="20"/>
              </w:rPr>
            </w:pPr>
            <w:r w:rsidRPr="009F1435">
              <w:rPr>
                <w:color w:val="000000"/>
                <w:sz w:val="14"/>
                <w:szCs w:val="20"/>
              </w:rPr>
              <w:t>3. PLANES, ESTUDIOS Y ASESORIAS</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4F2FC1B" w14:textId="77777777" w:rsidR="003305BD" w:rsidRPr="009F1435" w:rsidRDefault="003305BD" w:rsidP="00385846">
            <w:pPr>
              <w:jc w:val="right"/>
              <w:rPr>
                <w:color w:val="000000"/>
                <w:sz w:val="14"/>
              </w:rPr>
            </w:pPr>
            <w:r w:rsidRPr="009F1435">
              <w:rPr>
                <w:color w:val="000000"/>
                <w:sz w:val="14"/>
              </w:rPr>
              <w:t xml:space="preserve">1.500.365.208 </w:t>
            </w:r>
          </w:p>
        </w:tc>
        <w:tc>
          <w:tcPr>
            <w:tcW w:w="1134" w:type="dxa"/>
            <w:tcBorders>
              <w:top w:val="nil"/>
              <w:left w:val="nil"/>
              <w:bottom w:val="single" w:sz="4" w:space="0" w:color="auto"/>
              <w:right w:val="single" w:sz="4" w:space="0" w:color="auto"/>
            </w:tcBorders>
            <w:shd w:val="clear" w:color="auto" w:fill="auto"/>
            <w:noWrap/>
            <w:vAlign w:val="center"/>
            <w:hideMark/>
          </w:tcPr>
          <w:p w14:paraId="68BE6AE7" w14:textId="77777777" w:rsidR="003305BD" w:rsidRPr="009F1435" w:rsidRDefault="003305BD" w:rsidP="00385846">
            <w:pPr>
              <w:jc w:val="right"/>
              <w:rPr>
                <w:color w:val="000000"/>
                <w:sz w:val="14"/>
              </w:rPr>
            </w:pPr>
            <w:r w:rsidRPr="009F1435">
              <w:rPr>
                <w:color w:val="000000"/>
                <w:sz w:val="14"/>
              </w:rPr>
              <w:t> </w:t>
            </w:r>
          </w:p>
        </w:tc>
        <w:tc>
          <w:tcPr>
            <w:tcW w:w="567" w:type="dxa"/>
            <w:tcBorders>
              <w:top w:val="nil"/>
              <w:left w:val="nil"/>
              <w:bottom w:val="single" w:sz="4" w:space="0" w:color="auto"/>
              <w:right w:val="nil"/>
            </w:tcBorders>
            <w:shd w:val="clear" w:color="auto" w:fill="auto"/>
            <w:noWrap/>
            <w:vAlign w:val="center"/>
            <w:hideMark/>
          </w:tcPr>
          <w:p w14:paraId="6C180A9D" w14:textId="77777777" w:rsidR="003305BD" w:rsidRPr="009F1435" w:rsidRDefault="003305BD" w:rsidP="00385846">
            <w:pPr>
              <w:jc w:val="right"/>
              <w:rPr>
                <w:b/>
                <w:bCs/>
                <w:color w:val="000000"/>
                <w:sz w:val="14"/>
              </w:rPr>
            </w:pPr>
          </w:p>
        </w:tc>
        <w:tc>
          <w:tcPr>
            <w:tcW w:w="1134" w:type="dxa"/>
            <w:tcBorders>
              <w:top w:val="nil"/>
              <w:left w:val="single" w:sz="4" w:space="0" w:color="auto"/>
              <w:bottom w:val="single" w:sz="4" w:space="0" w:color="auto"/>
              <w:right w:val="nil"/>
            </w:tcBorders>
            <w:shd w:val="clear" w:color="auto" w:fill="auto"/>
            <w:noWrap/>
            <w:vAlign w:val="center"/>
            <w:hideMark/>
          </w:tcPr>
          <w:p w14:paraId="715C1C0C" w14:textId="77777777" w:rsidR="003305BD" w:rsidRPr="009F1435" w:rsidRDefault="003305BD" w:rsidP="00385846">
            <w:pPr>
              <w:jc w:val="right"/>
              <w:rPr>
                <w:color w:val="000000"/>
                <w:sz w:val="14"/>
              </w:rPr>
            </w:pPr>
            <w:r w:rsidRPr="009F1435">
              <w:rPr>
                <w:color w:val="000000"/>
                <w:sz w:val="14"/>
              </w:rPr>
              <w:t xml:space="preserve">931.383.035 </w:t>
            </w:r>
          </w:p>
        </w:tc>
        <w:tc>
          <w:tcPr>
            <w:tcW w:w="1015" w:type="dxa"/>
            <w:tcBorders>
              <w:top w:val="nil"/>
              <w:left w:val="single" w:sz="4" w:space="0" w:color="auto"/>
              <w:bottom w:val="single" w:sz="4" w:space="0" w:color="auto"/>
              <w:right w:val="single" w:sz="4" w:space="0" w:color="auto"/>
            </w:tcBorders>
            <w:shd w:val="clear" w:color="000000" w:fill="EDEDED"/>
            <w:noWrap/>
            <w:vAlign w:val="center"/>
            <w:hideMark/>
          </w:tcPr>
          <w:p w14:paraId="75ACF1AA" w14:textId="77777777" w:rsidR="003305BD" w:rsidRPr="009F1435" w:rsidRDefault="003305BD" w:rsidP="00385846">
            <w:pPr>
              <w:jc w:val="right"/>
              <w:rPr>
                <w:color w:val="000000"/>
                <w:sz w:val="14"/>
              </w:rPr>
            </w:pPr>
            <w:r w:rsidRPr="009F1435">
              <w:rPr>
                <w:color w:val="000000"/>
                <w:sz w:val="14"/>
              </w:rPr>
              <w:t xml:space="preserve">568.982.173 </w:t>
            </w:r>
          </w:p>
        </w:tc>
        <w:tc>
          <w:tcPr>
            <w:tcW w:w="969" w:type="dxa"/>
            <w:vMerge/>
            <w:tcBorders>
              <w:top w:val="single" w:sz="4" w:space="0" w:color="auto"/>
              <w:left w:val="nil"/>
              <w:bottom w:val="single" w:sz="4" w:space="0" w:color="000000"/>
              <w:right w:val="single" w:sz="4" w:space="0" w:color="auto"/>
            </w:tcBorders>
            <w:vAlign w:val="center"/>
            <w:hideMark/>
          </w:tcPr>
          <w:p w14:paraId="06C009F6" w14:textId="77777777" w:rsidR="003305BD" w:rsidRPr="009F1435" w:rsidRDefault="003305BD" w:rsidP="00385846">
            <w:pPr>
              <w:rPr>
                <w:color w:val="000000"/>
                <w:sz w:val="14"/>
              </w:rPr>
            </w:pPr>
          </w:p>
        </w:tc>
      </w:tr>
      <w:tr w:rsidR="003305BD" w:rsidRPr="009F1435" w14:paraId="7BCAA39B" w14:textId="77777777" w:rsidTr="001F44F4">
        <w:trPr>
          <w:trHeight w:val="416"/>
          <w:jc w:val="right"/>
        </w:trPr>
        <w:tc>
          <w:tcPr>
            <w:tcW w:w="2552" w:type="dxa"/>
            <w:tcBorders>
              <w:top w:val="nil"/>
              <w:left w:val="single" w:sz="4" w:space="0" w:color="auto"/>
              <w:bottom w:val="nil"/>
              <w:right w:val="nil"/>
            </w:tcBorders>
            <w:shd w:val="clear" w:color="000000" w:fill="E2EFDA"/>
            <w:noWrap/>
            <w:vAlign w:val="center"/>
            <w:hideMark/>
          </w:tcPr>
          <w:p w14:paraId="224B0D86" w14:textId="77777777" w:rsidR="003305BD" w:rsidRPr="009F1435" w:rsidRDefault="003305BD" w:rsidP="00385846">
            <w:pPr>
              <w:rPr>
                <w:b/>
                <w:bCs/>
                <w:color w:val="000000"/>
                <w:sz w:val="14"/>
              </w:rPr>
            </w:pPr>
            <w:r w:rsidRPr="009F1435">
              <w:rPr>
                <w:b/>
                <w:bCs/>
                <w:color w:val="000000"/>
                <w:sz w:val="14"/>
              </w:rPr>
              <w:t>EJECUCIÓN</w:t>
            </w:r>
          </w:p>
        </w:tc>
        <w:tc>
          <w:tcPr>
            <w:tcW w:w="1134" w:type="dxa"/>
            <w:tcBorders>
              <w:top w:val="nil"/>
              <w:left w:val="single" w:sz="4" w:space="0" w:color="auto"/>
              <w:bottom w:val="nil"/>
              <w:right w:val="single" w:sz="4" w:space="0" w:color="auto"/>
            </w:tcBorders>
            <w:shd w:val="clear" w:color="000000" w:fill="E2EFDA"/>
            <w:noWrap/>
            <w:vAlign w:val="center"/>
            <w:hideMark/>
          </w:tcPr>
          <w:p w14:paraId="34528068" w14:textId="77777777" w:rsidR="003305BD" w:rsidRPr="009F1435" w:rsidRDefault="003305BD" w:rsidP="00385846">
            <w:pPr>
              <w:jc w:val="right"/>
              <w:rPr>
                <w:b/>
                <w:bCs/>
                <w:color w:val="000000"/>
                <w:sz w:val="14"/>
              </w:rPr>
            </w:pPr>
          </w:p>
        </w:tc>
        <w:tc>
          <w:tcPr>
            <w:tcW w:w="1134" w:type="dxa"/>
            <w:tcBorders>
              <w:top w:val="nil"/>
              <w:left w:val="nil"/>
              <w:bottom w:val="nil"/>
              <w:right w:val="single" w:sz="4" w:space="0" w:color="auto"/>
            </w:tcBorders>
            <w:shd w:val="clear" w:color="000000" w:fill="E2EFDA"/>
            <w:noWrap/>
            <w:vAlign w:val="center"/>
            <w:hideMark/>
          </w:tcPr>
          <w:p w14:paraId="5C14EE7F" w14:textId="77777777" w:rsidR="003305BD" w:rsidRPr="009F1435" w:rsidRDefault="003305BD" w:rsidP="00385846">
            <w:pPr>
              <w:jc w:val="right"/>
              <w:rPr>
                <w:b/>
                <w:bCs/>
                <w:color w:val="000000"/>
                <w:sz w:val="14"/>
              </w:rPr>
            </w:pPr>
            <w:r w:rsidRPr="009F1435">
              <w:rPr>
                <w:b/>
                <w:bCs/>
                <w:color w:val="000000"/>
                <w:sz w:val="14"/>
              </w:rPr>
              <w:t xml:space="preserve">188.858.121.305 </w:t>
            </w:r>
          </w:p>
        </w:tc>
        <w:tc>
          <w:tcPr>
            <w:tcW w:w="567" w:type="dxa"/>
            <w:tcBorders>
              <w:top w:val="nil"/>
              <w:left w:val="nil"/>
              <w:bottom w:val="nil"/>
              <w:right w:val="nil"/>
            </w:tcBorders>
            <w:shd w:val="clear" w:color="000000" w:fill="E2EFDA"/>
            <w:noWrap/>
            <w:vAlign w:val="center"/>
            <w:hideMark/>
          </w:tcPr>
          <w:p w14:paraId="2A0E5A60" w14:textId="77777777" w:rsidR="003305BD" w:rsidRPr="009F1435" w:rsidRDefault="003305BD" w:rsidP="00385846">
            <w:pPr>
              <w:jc w:val="right"/>
              <w:rPr>
                <w:b/>
                <w:bCs/>
                <w:color w:val="000000"/>
                <w:sz w:val="14"/>
              </w:rPr>
            </w:pPr>
            <w:r w:rsidRPr="009F1435">
              <w:rPr>
                <w:b/>
                <w:bCs/>
                <w:color w:val="000000"/>
                <w:sz w:val="14"/>
              </w:rPr>
              <w:t>82%</w:t>
            </w:r>
          </w:p>
        </w:tc>
        <w:tc>
          <w:tcPr>
            <w:tcW w:w="1134" w:type="dxa"/>
            <w:tcBorders>
              <w:top w:val="nil"/>
              <w:left w:val="single" w:sz="4" w:space="0" w:color="auto"/>
              <w:bottom w:val="nil"/>
              <w:right w:val="nil"/>
            </w:tcBorders>
            <w:shd w:val="clear" w:color="000000" w:fill="E2EFDA"/>
            <w:noWrap/>
            <w:vAlign w:val="center"/>
            <w:hideMark/>
          </w:tcPr>
          <w:p w14:paraId="03ADDF5C" w14:textId="77777777" w:rsidR="003305BD" w:rsidRPr="009F1435" w:rsidRDefault="003305BD" w:rsidP="00385846">
            <w:pPr>
              <w:jc w:val="right"/>
              <w:rPr>
                <w:color w:val="000000"/>
                <w:sz w:val="14"/>
              </w:rPr>
            </w:pPr>
            <w:r w:rsidRPr="009F1435">
              <w:rPr>
                <w:color w:val="000000"/>
                <w:sz w:val="14"/>
              </w:rPr>
              <w:t xml:space="preserve">188.858.121.305 </w:t>
            </w:r>
          </w:p>
        </w:tc>
        <w:tc>
          <w:tcPr>
            <w:tcW w:w="1015" w:type="dxa"/>
            <w:tcBorders>
              <w:top w:val="nil"/>
              <w:left w:val="nil"/>
              <w:bottom w:val="nil"/>
              <w:right w:val="single" w:sz="4" w:space="0" w:color="auto"/>
            </w:tcBorders>
            <w:shd w:val="clear" w:color="000000" w:fill="E2EFDA"/>
            <w:noWrap/>
            <w:vAlign w:val="center"/>
            <w:hideMark/>
          </w:tcPr>
          <w:p w14:paraId="405E6EAA" w14:textId="77777777" w:rsidR="003305BD" w:rsidRPr="009F1435" w:rsidRDefault="003305BD" w:rsidP="00385846">
            <w:pPr>
              <w:jc w:val="right"/>
              <w:rPr>
                <w:color w:val="000000"/>
                <w:sz w:val="14"/>
              </w:rPr>
            </w:pPr>
            <w:r w:rsidRPr="009F1435">
              <w:rPr>
                <w:color w:val="000000"/>
                <w:sz w:val="14"/>
              </w:rPr>
              <w:t> </w:t>
            </w:r>
          </w:p>
        </w:tc>
        <w:tc>
          <w:tcPr>
            <w:tcW w:w="969" w:type="dxa"/>
            <w:tcBorders>
              <w:top w:val="nil"/>
              <w:left w:val="nil"/>
              <w:bottom w:val="nil"/>
              <w:right w:val="nil"/>
            </w:tcBorders>
            <w:shd w:val="clear" w:color="auto" w:fill="auto"/>
            <w:noWrap/>
            <w:vAlign w:val="bottom"/>
            <w:hideMark/>
          </w:tcPr>
          <w:p w14:paraId="01C849FA" w14:textId="77777777" w:rsidR="003305BD" w:rsidRPr="009F1435" w:rsidRDefault="003305BD" w:rsidP="00385846">
            <w:pPr>
              <w:rPr>
                <w:color w:val="000000"/>
                <w:sz w:val="14"/>
              </w:rPr>
            </w:pPr>
          </w:p>
        </w:tc>
      </w:tr>
      <w:tr w:rsidR="003305BD" w:rsidRPr="009F1435" w14:paraId="2E324A56" w14:textId="77777777" w:rsidTr="001F44F4">
        <w:trPr>
          <w:trHeight w:val="227"/>
          <w:jc w:val="right"/>
        </w:trPr>
        <w:tc>
          <w:tcPr>
            <w:tcW w:w="2552" w:type="dxa"/>
            <w:tcBorders>
              <w:top w:val="nil"/>
              <w:left w:val="single" w:sz="4" w:space="0" w:color="auto"/>
              <w:bottom w:val="nil"/>
              <w:right w:val="nil"/>
            </w:tcBorders>
            <w:shd w:val="clear" w:color="auto" w:fill="auto"/>
            <w:noWrap/>
            <w:vAlign w:val="center"/>
            <w:hideMark/>
          </w:tcPr>
          <w:p w14:paraId="27F35C76" w14:textId="77777777" w:rsidR="003305BD" w:rsidRPr="009F1435" w:rsidRDefault="003305BD" w:rsidP="00385846">
            <w:pPr>
              <w:rPr>
                <w:color w:val="000000"/>
                <w:sz w:val="14"/>
                <w:szCs w:val="20"/>
              </w:rPr>
            </w:pPr>
            <w:r w:rsidRPr="009F1435">
              <w:rPr>
                <w:color w:val="000000"/>
                <w:sz w:val="14"/>
                <w:szCs w:val="20"/>
              </w:rPr>
              <w:t>SOPORTE 1 - COMPLEMENTO ACADÉMICO</w:t>
            </w:r>
          </w:p>
        </w:tc>
        <w:tc>
          <w:tcPr>
            <w:tcW w:w="1134" w:type="dxa"/>
            <w:tcBorders>
              <w:top w:val="nil"/>
              <w:left w:val="single" w:sz="4" w:space="0" w:color="auto"/>
              <w:bottom w:val="nil"/>
              <w:right w:val="single" w:sz="4" w:space="0" w:color="auto"/>
            </w:tcBorders>
            <w:shd w:val="clear" w:color="auto" w:fill="auto"/>
            <w:noWrap/>
            <w:vAlign w:val="center"/>
            <w:hideMark/>
          </w:tcPr>
          <w:p w14:paraId="3E2EDBAE" w14:textId="77777777" w:rsidR="003305BD" w:rsidRPr="009F1435" w:rsidRDefault="003305BD" w:rsidP="00385846">
            <w:pPr>
              <w:jc w:val="right"/>
              <w:rPr>
                <w:color w:val="000000"/>
                <w:sz w:val="14"/>
              </w:rPr>
            </w:pPr>
            <w:r w:rsidRPr="009F1435">
              <w:rPr>
                <w:color w:val="000000"/>
                <w:sz w:val="14"/>
              </w:rPr>
              <w:t xml:space="preserve">12.327.410.000 </w:t>
            </w:r>
          </w:p>
        </w:tc>
        <w:tc>
          <w:tcPr>
            <w:tcW w:w="1134" w:type="dxa"/>
            <w:tcBorders>
              <w:top w:val="nil"/>
              <w:left w:val="nil"/>
              <w:bottom w:val="nil"/>
              <w:right w:val="single" w:sz="4" w:space="0" w:color="auto"/>
            </w:tcBorders>
            <w:shd w:val="clear" w:color="auto" w:fill="auto"/>
            <w:noWrap/>
            <w:vAlign w:val="center"/>
            <w:hideMark/>
          </w:tcPr>
          <w:p w14:paraId="26AE809F" w14:textId="77777777" w:rsidR="003305BD" w:rsidRPr="009F1435" w:rsidRDefault="003305BD" w:rsidP="00385846">
            <w:pPr>
              <w:jc w:val="right"/>
              <w:rPr>
                <w:color w:val="000000"/>
                <w:sz w:val="14"/>
              </w:rPr>
            </w:pPr>
            <w:r w:rsidRPr="009F1435">
              <w:rPr>
                <w:color w:val="000000"/>
                <w:sz w:val="14"/>
              </w:rPr>
              <w:t> </w:t>
            </w:r>
          </w:p>
        </w:tc>
        <w:tc>
          <w:tcPr>
            <w:tcW w:w="567" w:type="dxa"/>
            <w:tcBorders>
              <w:top w:val="nil"/>
              <w:left w:val="nil"/>
              <w:bottom w:val="nil"/>
              <w:right w:val="nil"/>
            </w:tcBorders>
            <w:shd w:val="clear" w:color="auto" w:fill="auto"/>
            <w:noWrap/>
            <w:vAlign w:val="center"/>
            <w:hideMark/>
          </w:tcPr>
          <w:p w14:paraId="0F892882" w14:textId="77777777" w:rsidR="003305BD" w:rsidRPr="009F1435" w:rsidRDefault="003305BD" w:rsidP="00385846">
            <w:pPr>
              <w:jc w:val="right"/>
              <w:rPr>
                <w:b/>
                <w:bCs/>
                <w:color w:val="000000"/>
                <w:sz w:val="14"/>
              </w:rPr>
            </w:pPr>
          </w:p>
        </w:tc>
        <w:tc>
          <w:tcPr>
            <w:tcW w:w="1134" w:type="dxa"/>
            <w:tcBorders>
              <w:top w:val="nil"/>
              <w:left w:val="single" w:sz="4" w:space="0" w:color="auto"/>
              <w:bottom w:val="nil"/>
              <w:right w:val="nil"/>
            </w:tcBorders>
            <w:shd w:val="clear" w:color="auto" w:fill="auto"/>
            <w:noWrap/>
            <w:vAlign w:val="center"/>
            <w:hideMark/>
          </w:tcPr>
          <w:p w14:paraId="1BE3C76A" w14:textId="77777777" w:rsidR="003305BD" w:rsidRPr="009F1435" w:rsidRDefault="003305BD" w:rsidP="00385846">
            <w:pPr>
              <w:jc w:val="right"/>
              <w:rPr>
                <w:color w:val="000000"/>
                <w:sz w:val="14"/>
              </w:rPr>
            </w:pPr>
            <w:r w:rsidRPr="009F1435">
              <w:rPr>
                <w:color w:val="000000"/>
                <w:sz w:val="14"/>
              </w:rPr>
              <w:t> </w:t>
            </w:r>
          </w:p>
        </w:tc>
        <w:tc>
          <w:tcPr>
            <w:tcW w:w="1015" w:type="dxa"/>
            <w:tcBorders>
              <w:top w:val="nil"/>
              <w:left w:val="nil"/>
              <w:bottom w:val="nil"/>
              <w:right w:val="single" w:sz="4" w:space="0" w:color="auto"/>
            </w:tcBorders>
            <w:shd w:val="clear" w:color="auto" w:fill="auto"/>
            <w:noWrap/>
            <w:vAlign w:val="center"/>
            <w:hideMark/>
          </w:tcPr>
          <w:p w14:paraId="0C65EC3A" w14:textId="77777777" w:rsidR="003305BD" w:rsidRPr="009F1435" w:rsidRDefault="003305BD" w:rsidP="00385846">
            <w:pPr>
              <w:jc w:val="right"/>
              <w:rPr>
                <w:color w:val="000000"/>
                <w:sz w:val="14"/>
              </w:rPr>
            </w:pPr>
            <w:r w:rsidRPr="009F1435">
              <w:rPr>
                <w:color w:val="000000"/>
                <w:sz w:val="14"/>
              </w:rPr>
              <w:t> </w:t>
            </w:r>
          </w:p>
        </w:tc>
        <w:tc>
          <w:tcPr>
            <w:tcW w:w="969" w:type="dxa"/>
            <w:tcBorders>
              <w:top w:val="nil"/>
              <w:left w:val="nil"/>
              <w:bottom w:val="nil"/>
              <w:right w:val="nil"/>
            </w:tcBorders>
            <w:shd w:val="clear" w:color="auto" w:fill="auto"/>
            <w:noWrap/>
            <w:vAlign w:val="bottom"/>
            <w:hideMark/>
          </w:tcPr>
          <w:p w14:paraId="3D2421D2" w14:textId="77777777" w:rsidR="003305BD" w:rsidRPr="009F1435" w:rsidRDefault="003305BD" w:rsidP="00385846">
            <w:pPr>
              <w:rPr>
                <w:color w:val="000000"/>
                <w:sz w:val="14"/>
              </w:rPr>
            </w:pPr>
          </w:p>
        </w:tc>
      </w:tr>
      <w:tr w:rsidR="003305BD" w:rsidRPr="009F1435" w14:paraId="4A44A736" w14:textId="77777777" w:rsidTr="001F44F4">
        <w:trPr>
          <w:trHeight w:val="227"/>
          <w:jc w:val="right"/>
        </w:trPr>
        <w:tc>
          <w:tcPr>
            <w:tcW w:w="2552" w:type="dxa"/>
            <w:tcBorders>
              <w:top w:val="nil"/>
              <w:left w:val="single" w:sz="4" w:space="0" w:color="auto"/>
              <w:bottom w:val="nil"/>
              <w:right w:val="nil"/>
            </w:tcBorders>
            <w:shd w:val="clear" w:color="auto" w:fill="auto"/>
            <w:noWrap/>
            <w:vAlign w:val="center"/>
            <w:hideMark/>
          </w:tcPr>
          <w:p w14:paraId="5A5A7EF0" w14:textId="54A1E49A" w:rsidR="003305BD" w:rsidRPr="009F1435" w:rsidRDefault="003305BD" w:rsidP="00385846">
            <w:pPr>
              <w:rPr>
                <w:color w:val="000000"/>
                <w:sz w:val="14"/>
                <w:szCs w:val="20"/>
              </w:rPr>
            </w:pPr>
            <w:r w:rsidRPr="009F1435">
              <w:rPr>
                <w:color w:val="000000"/>
                <w:sz w:val="14"/>
                <w:szCs w:val="20"/>
              </w:rPr>
              <w:t xml:space="preserve">SOPORTE 2 </w:t>
            </w:r>
            <w:r w:rsidR="003F7C70">
              <w:rPr>
                <w:color w:val="000000"/>
                <w:sz w:val="14"/>
                <w:szCs w:val="20"/>
              </w:rPr>
              <w:t>–</w:t>
            </w:r>
            <w:r w:rsidRPr="009F1435">
              <w:rPr>
                <w:color w:val="000000"/>
                <w:sz w:val="14"/>
                <w:szCs w:val="20"/>
              </w:rPr>
              <w:t xml:space="preserve"> PROYECCIÓN</w:t>
            </w:r>
          </w:p>
        </w:tc>
        <w:tc>
          <w:tcPr>
            <w:tcW w:w="1134" w:type="dxa"/>
            <w:tcBorders>
              <w:top w:val="nil"/>
              <w:left w:val="single" w:sz="4" w:space="0" w:color="auto"/>
              <w:bottom w:val="nil"/>
              <w:right w:val="single" w:sz="4" w:space="0" w:color="auto"/>
            </w:tcBorders>
            <w:shd w:val="clear" w:color="auto" w:fill="auto"/>
            <w:noWrap/>
            <w:vAlign w:val="center"/>
            <w:hideMark/>
          </w:tcPr>
          <w:p w14:paraId="5CC491C8" w14:textId="77777777" w:rsidR="003305BD" w:rsidRPr="009F1435" w:rsidRDefault="003305BD" w:rsidP="00385846">
            <w:pPr>
              <w:jc w:val="right"/>
              <w:rPr>
                <w:color w:val="000000"/>
                <w:sz w:val="14"/>
              </w:rPr>
            </w:pPr>
            <w:r w:rsidRPr="009F1435">
              <w:rPr>
                <w:color w:val="000000"/>
                <w:sz w:val="14"/>
              </w:rPr>
              <w:t xml:space="preserve">382.668.000 </w:t>
            </w:r>
          </w:p>
        </w:tc>
        <w:tc>
          <w:tcPr>
            <w:tcW w:w="1134" w:type="dxa"/>
            <w:tcBorders>
              <w:top w:val="nil"/>
              <w:left w:val="nil"/>
              <w:bottom w:val="nil"/>
              <w:right w:val="single" w:sz="4" w:space="0" w:color="auto"/>
            </w:tcBorders>
            <w:shd w:val="clear" w:color="auto" w:fill="auto"/>
            <w:noWrap/>
            <w:vAlign w:val="center"/>
            <w:hideMark/>
          </w:tcPr>
          <w:p w14:paraId="7C198244" w14:textId="77777777" w:rsidR="003305BD" w:rsidRPr="009F1435" w:rsidRDefault="003305BD" w:rsidP="00385846">
            <w:pPr>
              <w:jc w:val="right"/>
              <w:rPr>
                <w:color w:val="000000"/>
                <w:sz w:val="14"/>
              </w:rPr>
            </w:pPr>
            <w:r w:rsidRPr="009F1435">
              <w:rPr>
                <w:color w:val="000000"/>
                <w:sz w:val="14"/>
              </w:rPr>
              <w:t> </w:t>
            </w:r>
          </w:p>
        </w:tc>
        <w:tc>
          <w:tcPr>
            <w:tcW w:w="567" w:type="dxa"/>
            <w:tcBorders>
              <w:top w:val="nil"/>
              <w:left w:val="nil"/>
              <w:bottom w:val="nil"/>
              <w:right w:val="nil"/>
            </w:tcBorders>
            <w:shd w:val="clear" w:color="auto" w:fill="auto"/>
            <w:noWrap/>
            <w:vAlign w:val="center"/>
            <w:hideMark/>
          </w:tcPr>
          <w:p w14:paraId="79A75805" w14:textId="77777777" w:rsidR="003305BD" w:rsidRPr="009F1435" w:rsidRDefault="003305BD" w:rsidP="00385846">
            <w:pPr>
              <w:jc w:val="right"/>
              <w:rPr>
                <w:b/>
                <w:bCs/>
                <w:color w:val="000000"/>
                <w:sz w:val="14"/>
              </w:rPr>
            </w:pPr>
          </w:p>
        </w:tc>
        <w:tc>
          <w:tcPr>
            <w:tcW w:w="1134" w:type="dxa"/>
            <w:tcBorders>
              <w:top w:val="nil"/>
              <w:left w:val="single" w:sz="4" w:space="0" w:color="auto"/>
              <w:bottom w:val="nil"/>
              <w:right w:val="nil"/>
            </w:tcBorders>
            <w:shd w:val="clear" w:color="auto" w:fill="auto"/>
            <w:noWrap/>
            <w:vAlign w:val="center"/>
            <w:hideMark/>
          </w:tcPr>
          <w:p w14:paraId="23E8B89F" w14:textId="77777777" w:rsidR="003305BD" w:rsidRPr="009F1435" w:rsidRDefault="003305BD" w:rsidP="00385846">
            <w:pPr>
              <w:jc w:val="right"/>
              <w:rPr>
                <w:color w:val="000000"/>
                <w:sz w:val="14"/>
              </w:rPr>
            </w:pPr>
            <w:r w:rsidRPr="009F1435">
              <w:rPr>
                <w:color w:val="000000"/>
                <w:sz w:val="14"/>
              </w:rPr>
              <w:t> </w:t>
            </w:r>
          </w:p>
        </w:tc>
        <w:tc>
          <w:tcPr>
            <w:tcW w:w="1015" w:type="dxa"/>
            <w:tcBorders>
              <w:top w:val="nil"/>
              <w:left w:val="nil"/>
              <w:bottom w:val="nil"/>
              <w:right w:val="single" w:sz="4" w:space="0" w:color="auto"/>
            </w:tcBorders>
            <w:shd w:val="clear" w:color="auto" w:fill="auto"/>
            <w:noWrap/>
            <w:vAlign w:val="center"/>
            <w:hideMark/>
          </w:tcPr>
          <w:p w14:paraId="31FF6888" w14:textId="77777777" w:rsidR="003305BD" w:rsidRPr="009F1435" w:rsidRDefault="003305BD" w:rsidP="00385846">
            <w:pPr>
              <w:jc w:val="right"/>
              <w:rPr>
                <w:color w:val="000000"/>
                <w:sz w:val="14"/>
              </w:rPr>
            </w:pPr>
            <w:r w:rsidRPr="009F1435">
              <w:rPr>
                <w:color w:val="000000"/>
                <w:sz w:val="14"/>
              </w:rPr>
              <w:t> </w:t>
            </w:r>
          </w:p>
        </w:tc>
        <w:tc>
          <w:tcPr>
            <w:tcW w:w="969" w:type="dxa"/>
            <w:tcBorders>
              <w:top w:val="nil"/>
              <w:left w:val="nil"/>
              <w:bottom w:val="nil"/>
              <w:right w:val="nil"/>
            </w:tcBorders>
            <w:shd w:val="clear" w:color="auto" w:fill="auto"/>
            <w:noWrap/>
            <w:vAlign w:val="bottom"/>
            <w:hideMark/>
          </w:tcPr>
          <w:p w14:paraId="2E59E8CC" w14:textId="77777777" w:rsidR="003305BD" w:rsidRPr="009F1435" w:rsidRDefault="003305BD" w:rsidP="00385846">
            <w:pPr>
              <w:rPr>
                <w:color w:val="000000"/>
                <w:sz w:val="14"/>
              </w:rPr>
            </w:pPr>
          </w:p>
        </w:tc>
      </w:tr>
      <w:tr w:rsidR="003305BD" w:rsidRPr="009F1435" w14:paraId="6D2BBA52" w14:textId="77777777" w:rsidTr="001F44F4">
        <w:trPr>
          <w:trHeight w:val="227"/>
          <w:jc w:val="right"/>
        </w:trPr>
        <w:tc>
          <w:tcPr>
            <w:tcW w:w="2552" w:type="dxa"/>
            <w:tcBorders>
              <w:top w:val="nil"/>
              <w:left w:val="single" w:sz="4" w:space="0" w:color="auto"/>
              <w:bottom w:val="nil"/>
              <w:right w:val="nil"/>
            </w:tcBorders>
            <w:shd w:val="clear" w:color="auto" w:fill="auto"/>
            <w:noWrap/>
            <w:vAlign w:val="center"/>
            <w:hideMark/>
          </w:tcPr>
          <w:p w14:paraId="46CF98EF" w14:textId="77777777" w:rsidR="003305BD" w:rsidRPr="009F1435" w:rsidRDefault="003305BD" w:rsidP="00385846">
            <w:pPr>
              <w:rPr>
                <w:color w:val="000000"/>
                <w:sz w:val="14"/>
                <w:szCs w:val="20"/>
              </w:rPr>
            </w:pPr>
            <w:r w:rsidRPr="009F1435">
              <w:rPr>
                <w:color w:val="000000"/>
                <w:sz w:val="14"/>
                <w:szCs w:val="20"/>
              </w:rPr>
              <w:t>SOPORTE 3 - ADMINISTRATIVO</w:t>
            </w:r>
          </w:p>
        </w:tc>
        <w:tc>
          <w:tcPr>
            <w:tcW w:w="1134" w:type="dxa"/>
            <w:tcBorders>
              <w:top w:val="nil"/>
              <w:left w:val="single" w:sz="4" w:space="0" w:color="auto"/>
              <w:bottom w:val="nil"/>
              <w:right w:val="single" w:sz="4" w:space="0" w:color="auto"/>
            </w:tcBorders>
            <w:shd w:val="clear" w:color="auto" w:fill="auto"/>
            <w:noWrap/>
            <w:vAlign w:val="center"/>
            <w:hideMark/>
          </w:tcPr>
          <w:p w14:paraId="252AEC42" w14:textId="77777777" w:rsidR="003305BD" w:rsidRPr="009F1435" w:rsidRDefault="003305BD" w:rsidP="00385846">
            <w:pPr>
              <w:jc w:val="right"/>
              <w:rPr>
                <w:color w:val="000000"/>
                <w:sz w:val="14"/>
              </w:rPr>
            </w:pPr>
            <w:r w:rsidRPr="009F1435">
              <w:rPr>
                <w:color w:val="000000"/>
                <w:sz w:val="14"/>
              </w:rPr>
              <w:t xml:space="preserve">16.152.424.000 </w:t>
            </w:r>
          </w:p>
        </w:tc>
        <w:tc>
          <w:tcPr>
            <w:tcW w:w="1134" w:type="dxa"/>
            <w:tcBorders>
              <w:top w:val="nil"/>
              <w:left w:val="nil"/>
              <w:bottom w:val="nil"/>
              <w:right w:val="single" w:sz="4" w:space="0" w:color="auto"/>
            </w:tcBorders>
            <w:shd w:val="clear" w:color="auto" w:fill="auto"/>
            <w:noWrap/>
            <w:vAlign w:val="center"/>
            <w:hideMark/>
          </w:tcPr>
          <w:p w14:paraId="7AB654DF" w14:textId="77777777" w:rsidR="003305BD" w:rsidRPr="009F1435" w:rsidRDefault="003305BD" w:rsidP="00385846">
            <w:pPr>
              <w:jc w:val="right"/>
              <w:rPr>
                <w:color w:val="000000"/>
                <w:sz w:val="14"/>
              </w:rPr>
            </w:pPr>
            <w:r w:rsidRPr="009F1435">
              <w:rPr>
                <w:color w:val="000000"/>
                <w:sz w:val="14"/>
              </w:rPr>
              <w:t> </w:t>
            </w:r>
          </w:p>
        </w:tc>
        <w:tc>
          <w:tcPr>
            <w:tcW w:w="567" w:type="dxa"/>
            <w:tcBorders>
              <w:top w:val="nil"/>
              <w:left w:val="nil"/>
              <w:bottom w:val="nil"/>
              <w:right w:val="nil"/>
            </w:tcBorders>
            <w:shd w:val="clear" w:color="auto" w:fill="auto"/>
            <w:noWrap/>
            <w:vAlign w:val="center"/>
            <w:hideMark/>
          </w:tcPr>
          <w:p w14:paraId="3FE2F85B" w14:textId="77777777" w:rsidR="003305BD" w:rsidRPr="009F1435" w:rsidRDefault="003305BD" w:rsidP="00385846">
            <w:pPr>
              <w:jc w:val="right"/>
              <w:rPr>
                <w:b/>
                <w:bCs/>
                <w:color w:val="000000"/>
                <w:sz w:val="14"/>
              </w:rPr>
            </w:pPr>
          </w:p>
        </w:tc>
        <w:tc>
          <w:tcPr>
            <w:tcW w:w="1134" w:type="dxa"/>
            <w:tcBorders>
              <w:top w:val="nil"/>
              <w:left w:val="single" w:sz="4" w:space="0" w:color="auto"/>
              <w:bottom w:val="nil"/>
              <w:right w:val="nil"/>
            </w:tcBorders>
            <w:shd w:val="clear" w:color="auto" w:fill="auto"/>
            <w:noWrap/>
            <w:vAlign w:val="center"/>
            <w:hideMark/>
          </w:tcPr>
          <w:p w14:paraId="015E92F4" w14:textId="77777777" w:rsidR="003305BD" w:rsidRPr="009F1435" w:rsidRDefault="003305BD" w:rsidP="00385846">
            <w:pPr>
              <w:jc w:val="right"/>
              <w:rPr>
                <w:color w:val="000000"/>
                <w:sz w:val="14"/>
              </w:rPr>
            </w:pPr>
            <w:r w:rsidRPr="009F1435">
              <w:rPr>
                <w:color w:val="000000"/>
                <w:sz w:val="14"/>
              </w:rPr>
              <w:t> </w:t>
            </w:r>
          </w:p>
        </w:tc>
        <w:tc>
          <w:tcPr>
            <w:tcW w:w="1015" w:type="dxa"/>
            <w:tcBorders>
              <w:top w:val="nil"/>
              <w:left w:val="nil"/>
              <w:bottom w:val="nil"/>
              <w:right w:val="single" w:sz="4" w:space="0" w:color="auto"/>
            </w:tcBorders>
            <w:shd w:val="clear" w:color="auto" w:fill="auto"/>
            <w:noWrap/>
            <w:vAlign w:val="center"/>
            <w:hideMark/>
          </w:tcPr>
          <w:p w14:paraId="24385097" w14:textId="77777777" w:rsidR="003305BD" w:rsidRPr="009F1435" w:rsidRDefault="003305BD" w:rsidP="00385846">
            <w:pPr>
              <w:jc w:val="right"/>
              <w:rPr>
                <w:color w:val="000000"/>
                <w:sz w:val="14"/>
              </w:rPr>
            </w:pPr>
            <w:r w:rsidRPr="009F1435">
              <w:rPr>
                <w:color w:val="000000"/>
                <w:sz w:val="14"/>
              </w:rPr>
              <w:t> </w:t>
            </w:r>
          </w:p>
        </w:tc>
        <w:tc>
          <w:tcPr>
            <w:tcW w:w="969" w:type="dxa"/>
            <w:tcBorders>
              <w:top w:val="nil"/>
              <w:left w:val="nil"/>
              <w:bottom w:val="nil"/>
              <w:right w:val="nil"/>
            </w:tcBorders>
            <w:shd w:val="clear" w:color="auto" w:fill="auto"/>
            <w:noWrap/>
            <w:vAlign w:val="bottom"/>
            <w:hideMark/>
          </w:tcPr>
          <w:p w14:paraId="1F78824E" w14:textId="77777777" w:rsidR="003305BD" w:rsidRPr="009F1435" w:rsidRDefault="003305BD" w:rsidP="00385846">
            <w:pPr>
              <w:rPr>
                <w:color w:val="000000"/>
                <w:sz w:val="14"/>
              </w:rPr>
            </w:pPr>
          </w:p>
        </w:tc>
      </w:tr>
      <w:tr w:rsidR="003305BD" w:rsidRPr="009F1435" w14:paraId="497494EF" w14:textId="77777777" w:rsidTr="001F44F4">
        <w:trPr>
          <w:trHeight w:val="227"/>
          <w:jc w:val="right"/>
        </w:trPr>
        <w:tc>
          <w:tcPr>
            <w:tcW w:w="2552" w:type="dxa"/>
            <w:tcBorders>
              <w:top w:val="nil"/>
              <w:left w:val="single" w:sz="4" w:space="0" w:color="auto"/>
              <w:bottom w:val="nil"/>
              <w:right w:val="nil"/>
            </w:tcBorders>
            <w:shd w:val="clear" w:color="auto" w:fill="auto"/>
            <w:noWrap/>
            <w:vAlign w:val="center"/>
            <w:hideMark/>
          </w:tcPr>
          <w:p w14:paraId="4197C507" w14:textId="56FB72B5" w:rsidR="003305BD" w:rsidRPr="009F1435" w:rsidRDefault="003305BD" w:rsidP="00385846">
            <w:pPr>
              <w:rPr>
                <w:color w:val="000000"/>
                <w:sz w:val="14"/>
                <w:szCs w:val="20"/>
              </w:rPr>
            </w:pPr>
            <w:r w:rsidRPr="009F1435">
              <w:rPr>
                <w:color w:val="000000"/>
                <w:sz w:val="14"/>
                <w:szCs w:val="20"/>
              </w:rPr>
              <w:t xml:space="preserve">SOPORTE 4 </w:t>
            </w:r>
            <w:r w:rsidR="003F7C70">
              <w:rPr>
                <w:color w:val="000000"/>
                <w:sz w:val="14"/>
                <w:szCs w:val="20"/>
              </w:rPr>
              <w:t>–</w:t>
            </w:r>
            <w:r w:rsidRPr="009F1435">
              <w:rPr>
                <w:color w:val="000000"/>
                <w:sz w:val="14"/>
                <w:szCs w:val="20"/>
              </w:rPr>
              <w:t xml:space="preserve"> ACADÉMICO</w:t>
            </w:r>
          </w:p>
        </w:tc>
        <w:tc>
          <w:tcPr>
            <w:tcW w:w="1134" w:type="dxa"/>
            <w:tcBorders>
              <w:top w:val="nil"/>
              <w:left w:val="single" w:sz="4" w:space="0" w:color="auto"/>
              <w:bottom w:val="nil"/>
              <w:right w:val="single" w:sz="4" w:space="0" w:color="auto"/>
            </w:tcBorders>
            <w:shd w:val="clear" w:color="auto" w:fill="auto"/>
            <w:noWrap/>
            <w:vAlign w:val="center"/>
            <w:hideMark/>
          </w:tcPr>
          <w:p w14:paraId="766E68B1" w14:textId="77777777" w:rsidR="003305BD" w:rsidRPr="009F1435" w:rsidRDefault="003305BD" w:rsidP="00385846">
            <w:pPr>
              <w:jc w:val="right"/>
              <w:rPr>
                <w:color w:val="000000"/>
                <w:sz w:val="14"/>
              </w:rPr>
            </w:pPr>
            <w:r w:rsidRPr="009F1435">
              <w:rPr>
                <w:color w:val="000000"/>
                <w:sz w:val="14"/>
              </w:rPr>
              <w:t xml:space="preserve">68.450.166.185 </w:t>
            </w:r>
          </w:p>
        </w:tc>
        <w:tc>
          <w:tcPr>
            <w:tcW w:w="1134" w:type="dxa"/>
            <w:tcBorders>
              <w:top w:val="nil"/>
              <w:left w:val="nil"/>
              <w:bottom w:val="nil"/>
              <w:right w:val="single" w:sz="4" w:space="0" w:color="auto"/>
            </w:tcBorders>
            <w:shd w:val="clear" w:color="auto" w:fill="auto"/>
            <w:noWrap/>
            <w:vAlign w:val="center"/>
            <w:hideMark/>
          </w:tcPr>
          <w:p w14:paraId="04B355A0" w14:textId="77777777" w:rsidR="003305BD" w:rsidRPr="009F1435" w:rsidRDefault="003305BD" w:rsidP="00385846">
            <w:pPr>
              <w:jc w:val="right"/>
              <w:rPr>
                <w:color w:val="000000"/>
                <w:sz w:val="14"/>
              </w:rPr>
            </w:pPr>
            <w:r w:rsidRPr="009F1435">
              <w:rPr>
                <w:color w:val="000000"/>
                <w:sz w:val="14"/>
              </w:rPr>
              <w:t> </w:t>
            </w:r>
          </w:p>
        </w:tc>
        <w:tc>
          <w:tcPr>
            <w:tcW w:w="567" w:type="dxa"/>
            <w:tcBorders>
              <w:top w:val="nil"/>
              <w:left w:val="nil"/>
              <w:bottom w:val="nil"/>
              <w:right w:val="nil"/>
            </w:tcBorders>
            <w:shd w:val="clear" w:color="auto" w:fill="auto"/>
            <w:noWrap/>
            <w:vAlign w:val="center"/>
            <w:hideMark/>
          </w:tcPr>
          <w:p w14:paraId="6EE89065" w14:textId="77777777" w:rsidR="003305BD" w:rsidRPr="009F1435" w:rsidRDefault="003305BD" w:rsidP="00385846">
            <w:pPr>
              <w:jc w:val="right"/>
              <w:rPr>
                <w:b/>
                <w:bCs/>
                <w:color w:val="000000"/>
                <w:sz w:val="14"/>
              </w:rPr>
            </w:pPr>
          </w:p>
        </w:tc>
        <w:tc>
          <w:tcPr>
            <w:tcW w:w="1134" w:type="dxa"/>
            <w:tcBorders>
              <w:top w:val="nil"/>
              <w:left w:val="single" w:sz="4" w:space="0" w:color="auto"/>
              <w:bottom w:val="nil"/>
              <w:right w:val="nil"/>
            </w:tcBorders>
            <w:shd w:val="clear" w:color="auto" w:fill="auto"/>
            <w:noWrap/>
            <w:vAlign w:val="center"/>
            <w:hideMark/>
          </w:tcPr>
          <w:p w14:paraId="6AF87883" w14:textId="77777777" w:rsidR="003305BD" w:rsidRPr="009F1435" w:rsidRDefault="003305BD" w:rsidP="00385846">
            <w:pPr>
              <w:jc w:val="right"/>
              <w:rPr>
                <w:color w:val="000000"/>
                <w:sz w:val="14"/>
              </w:rPr>
            </w:pPr>
            <w:r w:rsidRPr="009F1435">
              <w:rPr>
                <w:color w:val="000000"/>
                <w:sz w:val="14"/>
              </w:rPr>
              <w:t> </w:t>
            </w:r>
          </w:p>
        </w:tc>
        <w:tc>
          <w:tcPr>
            <w:tcW w:w="1015" w:type="dxa"/>
            <w:tcBorders>
              <w:top w:val="nil"/>
              <w:left w:val="nil"/>
              <w:bottom w:val="nil"/>
              <w:right w:val="single" w:sz="4" w:space="0" w:color="auto"/>
            </w:tcBorders>
            <w:shd w:val="clear" w:color="auto" w:fill="auto"/>
            <w:noWrap/>
            <w:vAlign w:val="center"/>
            <w:hideMark/>
          </w:tcPr>
          <w:p w14:paraId="59342350" w14:textId="77777777" w:rsidR="003305BD" w:rsidRPr="009F1435" w:rsidRDefault="003305BD" w:rsidP="00385846">
            <w:pPr>
              <w:jc w:val="right"/>
              <w:rPr>
                <w:color w:val="000000"/>
                <w:sz w:val="14"/>
              </w:rPr>
            </w:pPr>
            <w:r w:rsidRPr="009F1435">
              <w:rPr>
                <w:color w:val="000000"/>
                <w:sz w:val="14"/>
              </w:rPr>
              <w:t> </w:t>
            </w:r>
          </w:p>
        </w:tc>
        <w:tc>
          <w:tcPr>
            <w:tcW w:w="969" w:type="dxa"/>
            <w:tcBorders>
              <w:top w:val="nil"/>
              <w:left w:val="nil"/>
              <w:bottom w:val="nil"/>
              <w:right w:val="nil"/>
            </w:tcBorders>
            <w:shd w:val="clear" w:color="auto" w:fill="auto"/>
            <w:noWrap/>
            <w:vAlign w:val="bottom"/>
            <w:hideMark/>
          </w:tcPr>
          <w:p w14:paraId="403B994A" w14:textId="77777777" w:rsidR="003305BD" w:rsidRPr="009F1435" w:rsidRDefault="003305BD" w:rsidP="00385846">
            <w:pPr>
              <w:rPr>
                <w:color w:val="000000"/>
                <w:sz w:val="14"/>
              </w:rPr>
            </w:pPr>
          </w:p>
        </w:tc>
      </w:tr>
      <w:tr w:rsidR="003305BD" w:rsidRPr="009F1435" w14:paraId="27222EBC" w14:textId="77777777" w:rsidTr="001F44F4">
        <w:trPr>
          <w:trHeight w:val="227"/>
          <w:jc w:val="right"/>
        </w:trPr>
        <w:tc>
          <w:tcPr>
            <w:tcW w:w="2552" w:type="dxa"/>
            <w:tcBorders>
              <w:top w:val="nil"/>
              <w:left w:val="single" w:sz="4" w:space="0" w:color="auto"/>
              <w:bottom w:val="nil"/>
              <w:right w:val="nil"/>
            </w:tcBorders>
            <w:shd w:val="clear" w:color="auto" w:fill="auto"/>
            <w:noWrap/>
            <w:vAlign w:val="center"/>
            <w:hideMark/>
          </w:tcPr>
          <w:p w14:paraId="188261A1" w14:textId="1DE6E726" w:rsidR="003305BD" w:rsidRPr="009F1435" w:rsidRDefault="003305BD" w:rsidP="00385846">
            <w:pPr>
              <w:rPr>
                <w:color w:val="000000"/>
                <w:sz w:val="14"/>
                <w:szCs w:val="20"/>
              </w:rPr>
            </w:pPr>
            <w:r w:rsidRPr="009F1435">
              <w:rPr>
                <w:color w:val="000000"/>
                <w:sz w:val="14"/>
                <w:szCs w:val="20"/>
              </w:rPr>
              <w:t xml:space="preserve">SOPORTE 5 </w:t>
            </w:r>
            <w:r w:rsidR="003F7C70">
              <w:rPr>
                <w:color w:val="000000"/>
                <w:sz w:val="14"/>
                <w:szCs w:val="20"/>
              </w:rPr>
              <w:t>–</w:t>
            </w:r>
            <w:r w:rsidRPr="009F1435">
              <w:rPr>
                <w:color w:val="000000"/>
                <w:sz w:val="14"/>
                <w:szCs w:val="20"/>
              </w:rPr>
              <w:t xml:space="preserve"> TECNICO</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CE817EE" w14:textId="77777777" w:rsidR="003305BD" w:rsidRPr="009F1435" w:rsidRDefault="003305BD" w:rsidP="00385846">
            <w:pPr>
              <w:jc w:val="right"/>
              <w:rPr>
                <w:color w:val="000000"/>
                <w:sz w:val="14"/>
              </w:rPr>
            </w:pPr>
            <w:r w:rsidRPr="009F1435">
              <w:rPr>
                <w:color w:val="000000"/>
                <w:sz w:val="14"/>
              </w:rPr>
              <w:t xml:space="preserve">37.026.907.066 </w:t>
            </w:r>
          </w:p>
        </w:tc>
        <w:tc>
          <w:tcPr>
            <w:tcW w:w="1134" w:type="dxa"/>
            <w:tcBorders>
              <w:top w:val="nil"/>
              <w:left w:val="nil"/>
              <w:bottom w:val="nil"/>
              <w:right w:val="single" w:sz="4" w:space="0" w:color="auto"/>
            </w:tcBorders>
            <w:shd w:val="clear" w:color="auto" w:fill="auto"/>
            <w:noWrap/>
            <w:vAlign w:val="center"/>
            <w:hideMark/>
          </w:tcPr>
          <w:p w14:paraId="4EEAF960" w14:textId="77777777" w:rsidR="003305BD" w:rsidRPr="009F1435" w:rsidRDefault="003305BD" w:rsidP="00385846">
            <w:pPr>
              <w:jc w:val="right"/>
              <w:rPr>
                <w:color w:val="000000"/>
                <w:sz w:val="14"/>
              </w:rPr>
            </w:pPr>
            <w:r w:rsidRPr="009F1435">
              <w:rPr>
                <w:color w:val="000000"/>
                <w:sz w:val="14"/>
              </w:rPr>
              <w:t> </w:t>
            </w:r>
          </w:p>
        </w:tc>
        <w:tc>
          <w:tcPr>
            <w:tcW w:w="567" w:type="dxa"/>
            <w:tcBorders>
              <w:top w:val="nil"/>
              <w:left w:val="nil"/>
              <w:bottom w:val="nil"/>
              <w:right w:val="nil"/>
            </w:tcBorders>
            <w:shd w:val="clear" w:color="auto" w:fill="auto"/>
            <w:noWrap/>
            <w:vAlign w:val="center"/>
            <w:hideMark/>
          </w:tcPr>
          <w:p w14:paraId="276DB1A4" w14:textId="77777777" w:rsidR="003305BD" w:rsidRPr="009F1435" w:rsidRDefault="003305BD" w:rsidP="00385846">
            <w:pPr>
              <w:jc w:val="right"/>
              <w:rPr>
                <w:b/>
                <w:bCs/>
                <w:color w:val="000000"/>
                <w:sz w:val="14"/>
              </w:rPr>
            </w:pPr>
          </w:p>
        </w:tc>
        <w:tc>
          <w:tcPr>
            <w:tcW w:w="1134" w:type="dxa"/>
            <w:tcBorders>
              <w:top w:val="nil"/>
              <w:left w:val="single" w:sz="4" w:space="0" w:color="auto"/>
              <w:bottom w:val="nil"/>
              <w:right w:val="nil"/>
            </w:tcBorders>
            <w:shd w:val="clear" w:color="auto" w:fill="auto"/>
            <w:noWrap/>
            <w:vAlign w:val="center"/>
            <w:hideMark/>
          </w:tcPr>
          <w:p w14:paraId="3644AB48" w14:textId="77777777" w:rsidR="003305BD" w:rsidRPr="009F1435" w:rsidRDefault="003305BD" w:rsidP="00385846">
            <w:pPr>
              <w:jc w:val="right"/>
              <w:rPr>
                <w:color w:val="000000"/>
                <w:sz w:val="14"/>
              </w:rPr>
            </w:pPr>
            <w:r w:rsidRPr="009F1435">
              <w:rPr>
                <w:color w:val="000000"/>
                <w:sz w:val="14"/>
              </w:rPr>
              <w:t> </w:t>
            </w:r>
          </w:p>
        </w:tc>
        <w:tc>
          <w:tcPr>
            <w:tcW w:w="1015" w:type="dxa"/>
            <w:tcBorders>
              <w:top w:val="nil"/>
              <w:left w:val="nil"/>
              <w:bottom w:val="nil"/>
              <w:right w:val="single" w:sz="4" w:space="0" w:color="auto"/>
            </w:tcBorders>
            <w:shd w:val="clear" w:color="auto" w:fill="auto"/>
            <w:noWrap/>
            <w:vAlign w:val="center"/>
            <w:hideMark/>
          </w:tcPr>
          <w:p w14:paraId="036BC6AC" w14:textId="77777777" w:rsidR="003305BD" w:rsidRPr="009F1435" w:rsidRDefault="003305BD" w:rsidP="00385846">
            <w:pPr>
              <w:jc w:val="right"/>
              <w:rPr>
                <w:color w:val="000000"/>
                <w:sz w:val="14"/>
              </w:rPr>
            </w:pPr>
            <w:r w:rsidRPr="009F1435">
              <w:rPr>
                <w:color w:val="000000"/>
                <w:sz w:val="14"/>
              </w:rPr>
              <w:t> </w:t>
            </w:r>
          </w:p>
        </w:tc>
        <w:tc>
          <w:tcPr>
            <w:tcW w:w="969" w:type="dxa"/>
            <w:tcBorders>
              <w:top w:val="nil"/>
              <w:left w:val="nil"/>
              <w:bottom w:val="nil"/>
              <w:right w:val="nil"/>
            </w:tcBorders>
            <w:shd w:val="clear" w:color="auto" w:fill="auto"/>
            <w:noWrap/>
            <w:vAlign w:val="bottom"/>
            <w:hideMark/>
          </w:tcPr>
          <w:p w14:paraId="58B15BF8" w14:textId="77777777" w:rsidR="003305BD" w:rsidRPr="009F1435" w:rsidRDefault="003305BD" w:rsidP="00385846">
            <w:pPr>
              <w:rPr>
                <w:color w:val="000000"/>
                <w:sz w:val="14"/>
              </w:rPr>
            </w:pPr>
          </w:p>
        </w:tc>
      </w:tr>
      <w:tr w:rsidR="003305BD" w:rsidRPr="009F1435" w14:paraId="1F2A5BBB" w14:textId="77777777" w:rsidTr="001F44F4">
        <w:trPr>
          <w:trHeight w:val="227"/>
          <w:jc w:val="right"/>
        </w:trPr>
        <w:tc>
          <w:tcPr>
            <w:tcW w:w="2552" w:type="dxa"/>
            <w:tcBorders>
              <w:top w:val="nil"/>
              <w:left w:val="single" w:sz="4" w:space="0" w:color="auto"/>
              <w:bottom w:val="nil"/>
              <w:right w:val="nil"/>
            </w:tcBorders>
            <w:shd w:val="clear" w:color="auto" w:fill="auto"/>
            <w:noWrap/>
            <w:vAlign w:val="center"/>
            <w:hideMark/>
          </w:tcPr>
          <w:p w14:paraId="65679C84" w14:textId="77777777" w:rsidR="003305BD" w:rsidRPr="009F1435" w:rsidRDefault="003305BD" w:rsidP="00385846">
            <w:pPr>
              <w:rPr>
                <w:b/>
                <w:bCs/>
                <w:color w:val="000000"/>
                <w:sz w:val="14"/>
                <w:szCs w:val="20"/>
              </w:rPr>
            </w:pPr>
            <w:r w:rsidRPr="009F1435">
              <w:rPr>
                <w:b/>
                <w:bCs/>
                <w:color w:val="000000"/>
                <w:sz w:val="14"/>
                <w:szCs w:val="20"/>
              </w:rPr>
              <w:t>SUBTOTAL CONSTRUCCIÓN</w:t>
            </w:r>
          </w:p>
        </w:tc>
        <w:tc>
          <w:tcPr>
            <w:tcW w:w="1134" w:type="dxa"/>
            <w:tcBorders>
              <w:top w:val="nil"/>
              <w:left w:val="single" w:sz="4" w:space="0" w:color="auto"/>
              <w:bottom w:val="nil"/>
              <w:right w:val="single" w:sz="4" w:space="0" w:color="auto"/>
            </w:tcBorders>
            <w:shd w:val="clear" w:color="auto" w:fill="auto"/>
            <w:noWrap/>
            <w:vAlign w:val="center"/>
            <w:hideMark/>
          </w:tcPr>
          <w:p w14:paraId="52EC52F6" w14:textId="77777777" w:rsidR="003305BD" w:rsidRPr="009F1435" w:rsidRDefault="003305BD" w:rsidP="00385846">
            <w:pPr>
              <w:jc w:val="right"/>
              <w:rPr>
                <w:b/>
                <w:bCs/>
                <w:color w:val="000000"/>
                <w:sz w:val="14"/>
              </w:rPr>
            </w:pPr>
            <w:r w:rsidRPr="009F1435">
              <w:rPr>
                <w:b/>
                <w:bCs/>
                <w:color w:val="000000"/>
                <w:sz w:val="14"/>
              </w:rPr>
              <w:t xml:space="preserve">134.339.575.251 </w:t>
            </w:r>
          </w:p>
        </w:tc>
        <w:tc>
          <w:tcPr>
            <w:tcW w:w="1134" w:type="dxa"/>
            <w:tcBorders>
              <w:top w:val="nil"/>
              <w:left w:val="nil"/>
              <w:bottom w:val="nil"/>
              <w:right w:val="single" w:sz="4" w:space="0" w:color="auto"/>
            </w:tcBorders>
            <w:shd w:val="clear" w:color="auto" w:fill="auto"/>
            <w:noWrap/>
            <w:vAlign w:val="center"/>
            <w:hideMark/>
          </w:tcPr>
          <w:p w14:paraId="4F378D7E" w14:textId="77777777" w:rsidR="003305BD" w:rsidRPr="009F1435" w:rsidRDefault="003305BD" w:rsidP="00385846">
            <w:pPr>
              <w:jc w:val="right"/>
              <w:rPr>
                <w:color w:val="000000"/>
                <w:sz w:val="14"/>
              </w:rPr>
            </w:pPr>
            <w:r w:rsidRPr="009F1435">
              <w:rPr>
                <w:color w:val="000000"/>
                <w:sz w:val="14"/>
              </w:rPr>
              <w:t> </w:t>
            </w:r>
          </w:p>
        </w:tc>
        <w:tc>
          <w:tcPr>
            <w:tcW w:w="567" w:type="dxa"/>
            <w:tcBorders>
              <w:top w:val="nil"/>
              <w:left w:val="nil"/>
              <w:bottom w:val="nil"/>
              <w:right w:val="nil"/>
            </w:tcBorders>
            <w:shd w:val="clear" w:color="auto" w:fill="auto"/>
            <w:noWrap/>
            <w:vAlign w:val="center"/>
            <w:hideMark/>
          </w:tcPr>
          <w:p w14:paraId="213C0AB8" w14:textId="77777777" w:rsidR="003305BD" w:rsidRPr="009F1435" w:rsidRDefault="003305BD" w:rsidP="00385846">
            <w:pPr>
              <w:jc w:val="right"/>
              <w:rPr>
                <w:b/>
                <w:bCs/>
                <w:color w:val="000000"/>
                <w:sz w:val="14"/>
              </w:rPr>
            </w:pPr>
          </w:p>
        </w:tc>
        <w:tc>
          <w:tcPr>
            <w:tcW w:w="1134" w:type="dxa"/>
            <w:tcBorders>
              <w:top w:val="nil"/>
              <w:left w:val="single" w:sz="4" w:space="0" w:color="auto"/>
              <w:bottom w:val="nil"/>
              <w:right w:val="nil"/>
            </w:tcBorders>
            <w:shd w:val="clear" w:color="auto" w:fill="auto"/>
            <w:noWrap/>
            <w:vAlign w:val="center"/>
            <w:hideMark/>
          </w:tcPr>
          <w:p w14:paraId="1773F68F" w14:textId="77777777" w:rsidR="003305BD" w:rsidRPr="009F1435" w:rsidRDefault="003305BD" w:rsidP="00385846">
            <w:pPr>
              <w:jc w:val="right"/>
              <w:rPr>
                <w:color w:val="000000"/>
                <w:sz w:val="14"/>
              </w:rPr>
            </w:pPr>
            <w:r w:rsidRPr="009F1435">
              <w:rPr>
                <w:color w:val="000000"/>
                <w:sz w:val="14"/>
              </w:rPr>
              <w:t> </w:t>
            </w:r>
          </w:p>
        </w:tc>
        <w:tc>
          <w:tcPr>
            <w:tcW w:w="1015" w:type="dxa"/>
            <w:tcBorders>
              <w:top w:val="nil"/>
              <w:left w:val="nil"/>
              <w:bottom w:val="nil"/>
              <w:right w:val="single" w:sz="4" w:space="0" w:color="auto"/>
            </w:tcBorders>
            <w:shd w:val="clear" w:color="auto" w:fill="auto"/>
            <w:noWrap/>
            <w:vAlign w:val="center"/>
            <w:hideMark/>
          </w:tcPr>
          <w:p w14:paraId="56C68AE3" w14:textId="77777777" w:rsidR="003305BD" w:rsidRPr="009F1435" w:rsidRDefault="003305BD" w:rsidP="00385846">
            <w:pPr>
              <w:jc w:val="right"/>
              <w:rPr>
                <w:color w:val="000000"/>
                <w:sz w:val="14"/>
              </w:rPr>
            </w:pPr>
            <w:r w:rsidRPr="009F1435">
              <w:rPr>
                <w:color w:val="000000"/>
                <w:sz w:val="14"/>
              </w:rPr>
              <w:t> </w:t>
            </w:r>
          </w:p>
        </w:tc>
        <w:tc>
          <w:tcPr>
            <w:tcW w:w="969" w:type="dxa"/>
            <w:tcBorders>
              <w:top w:val="nil"/>
              <w:left w:val="nil"/>
              <w:bottom w:val="nil"/>
              <w:right w:val="nil"/>
            </w:tcBorders>
            <w:shd w:val="clear" w:color="auto" w:fill="auto"/>
            <w:noWrap/>
            <w:vAlign w:val="bottom"/>
            <w:hideMark/>
          </w:tcPr>
          <w:p w14:paraId="19CB167C" w14:textId="77777777" w:rsidR="003305BD" w:rsidRPr="009F1435" w:rsidRDefault="003305BD" w:rsidP="00385846">
            <w:pPr>
              <w:rPr>
                <w:color w:val="000000"/>
                <w:sz w:val="14"/>
              </w:rPr>
            </w:pPr>
          </w:p>
        </w:tc>
      </w:tr>
      <w:tr w:rsidR="003305BD" w:rsidRPr="009F1435" w14:paraId="606A377B" w14:textId="77777777" w:rsidTr="001F44F4">
        <w:trPr>
          <w:trHeight w:val="227"/>
          <w:jc w:val="right"/>
        </w:trPr>
        <w:tc>
          <w:tcPr>
            <w:tcW w:w="2552" w:type="dxa"/>
            <w:tcBorders>
              <w:top w:val="nil"/>
              <w:left w:val="single" w:sz="4" w:space="0" w:color="auto"/>
              <w:bottom w:val="nil"/>
              <w:right w:val="nil"/>
            </w:tcBorders>
            <w:shd w:val="clear" w:color="auto" w:fill="auto"/>
            <w:noWrap/>
            <w:vAlign w:val="center"/>
            <w:hideMark/>
          </w:tcPr>
          <w:p w14:paraId="370DCFC1" w14:textId="77777777" w:rsidR="003305BD" w:rsidRPr="009F1435" w:rsidRDefault="003305BD" w:rsidP="00385846">
            <w:pPr>
              <w:rPr>
                <w:b/>
                <w:bCs/>
                <w:color w:val="000000"/>
                <w:sz w:val="14"/>
                <w:szCs w:val="20"/>
              </w:rPr>
            </w:pPr>
            <w:r w:rsidRPr="009F1435">
              <w:rPr>
                <w:b/>
                <w:bCs/>
                <w:color w:val="000000"/>
                <w:sz w:val="14"/>
                <w:szCs w:val="20"/>
              </w:rPr>
              <w:t>AIU 25%</w:t>
            </w:r>
          </w:p>
        </w:tc>
        <w:tc>
          <w:tcPr>
            <w:tcW w:w="1134" w:type="dxa"/>
            <w:tcBorders>
              <w:top w:val="nil"/>
              <w:left w:val="single" w:sz="4" w:space="0" w:color="auto"/>
              <w:bottom w:val="nil"/>
              <w:right w:val="single" w:sz="4" w:space="0" w:color="auto"/>
            </w:tcBorders>
            <w:shd w:val="clear" w:color="auto" w:fill="auto"/>
            <w:noWrap/>
            <w:vAlign w:val="center"/>
            <w:hideMark/>
          </w:tcPr>
          <w:p w14:paraId="27E7E925" w14:textId="77777777" w:rsidR="003305BD" w:rsidRPr="009F1435" w:rsidRDefault="003305BD" w:rsidP="00385846">
            <w:pPr>
              <w:jc w:val="right"/>
              <w:rPr>
                <w:b/>
                <w:bCs/>
                <w:color w:val="000000"/>
                <w:sz w:val="14"/>
              </w:rPr>
            </w:pPr>
            <w:r w:rsidRPr="009F1435">
              <w:rPr>
                <w:b/>
                <w:bCs/>
                <w:color w:val="000000"/>
                <w:sz w:val="14"/>
              </w:rPr>
              <w:t xml:space="preserve">33.584.893.813 </w:t>
            </w:r>
          </w:p>
        </w:tc>
        <w:tc>
          <w:tcPr>
            <w:tcW w:w="1134" w:type="dxa"/>
            <w:tcBorders>
              <w:top w:val="nil"/>
              <w:left w:val="nil"/>
              <w:bottom w:val="nil"/>
              <w:right w:val="single" w:sz="4" w:space="0" w:color="auto"/>
            </w:tcBorders>
            <w:shd w:val="clear" w:color="auto" w:fill="auto"/>
            <w:noWrap/>
            <w:vAlign w:val="center"/>
            <w:hideMark/>
          </w:tcPr>
          <w:p w14:paraId="06E7F59B" w14:textId="77777777" w:rsidR="003305BD" w:rsidRPr="009F1435" w:rsidRDefault="003305BD" w:rsidP="00385846">
            <w:pPr>
              <w:jc w:val="right"/>
              <w:rPr>
                <w:color w:val="000000"/>
                <w:sz w:val="14"/>
              </w:rPr>
            </w:pPr>
            <w:r w:rsidRPr="009F1435">
              <w:rPr>
                <w:color w:val="000000"/>
                <w:sz w:val="14"/>
              </w:rPr>
              <w:t> </w:t>
            </w:r>
          </w:p>
        </w:tc>
        <w:tc>
          <w:tcPr>
            <w:tcW w:w="567" w:type="dxa"/>
            <w:tcBorders>
              <w:top w:val="nil"/>
              <w:left w:val="nil"/>
              <w:bottom w:val="nil"/>
              <w:right w:val="nil"/>
            </w:tcBorders>
            <w:shd w:val="clear" w:color="auto" w:fill="auto"/>
            <w:noWrap/>
            <w:vAlign w:val="center"/>
            <w:hideMark/>
          </w:tcPr>
          <w:p w14:paraId="0BC5E187" w14:textId="77777777" w:rsidR="003305BD" w:rsidRPr="009F1435" w:rsidRDefault="003305BD" w:rsidP="00385846">
            <w:pPr>
              <w:jc w:val="right"/>
              <w:rPr>
                <w:b/>
                <w:bCs/>
                <w:color w:val="000000"/>
                <w:sz w:val="14"/>
              </w:rPr>
            </w:pPr>
          </w:p>
        </w:tc>
        <w:tc>
          <w:tcPr>
            <w:tcW w:w="1134" w:type="dxa"/>
            <w:tcBorders>
              <w:top w:val="nil"/>
              <w:left w:val="single" w:sz="4" w:space="0" w:color="auto"/>
              <w:bottom w:val="nil"/>
              <w:right w:val="nil"/>
            </w:tcBorders>
            <w:shd w:val="clear" w:color="auto" w:fill="auto"/>
            <w:noWrap/>
            <w:vAlign w:val="center"/>
            <w:hideMark/>
          </w:tcPr>
          <w:p w14:paraId="41699D95" w14:textId="77777777" w:rsidR="003305BD" w:rsidRPr="009F1435" w:rsidRDefault="003305BD" w:rsidP="00385846">
            <w:pPr>
              <w:jc w:val="right"/>
              <w:rPr>
                <w:color w:val="000000"/>
                <w:sz w:val="14"/>
              </w:rPr>
            </w:pPr>
            <w:r w:rsidRPr="009F1435">
              <w:rPr>
                <w:color w:val="000000"/>
                <w:sz w:val="14"/>
              </w:rPr>
              <w:t> </w:t>
            </w:r>
          </w:p>
        </w:tc>
        <w:tc>
          <w:tcPr>
            <w:tcW w:w="1015" w:type="dxa"/>
            <w:tcBorders>
              <w:top w:val="nil"/>
              <w:left w:val="nil"/>
              <w:bottom w:val="nil"/>
              <w:right w:val="single" w:sz="4" w:space="0" w:color="auto"/>
            </w:tcBorders>
            <w:shd w:val="clear" w:color="auto" w:fill="auto"/>
            <w:noWrap/>
            <w:vAlign w:val="center"/>
            <w:hideMark/>
          </w:tcPr>
          <w:p w14:paraId="0BCF370C" w14:textId="77777777" w:rsidR="003305BD" w:rsidRPr="009F1435" w:rsidRDefault="003305BD" w:rsidP="00385846">
            <w:pPr>
              <w:jc w:val="right"/>
              <w:rPr>
                <w:color w:val="000000"/>
                <w:sz w:val="14"/>
              </w:rPr>
            </w:pPr>
            <w:r w:rsidRPr="009F1435">
              <w:rPr>
                <w:color w:val="000000"/>
                <w:sz w:val="14"/>
              </w:rPr>
              <w:t> </w:t>
            </w:r>
          </w:p>
        </w:tc>
        <w:tc>
          <w:tcPr>
            <w:tcW w:w="969" w:type="dxa"/>
            <w:tcBorders>
              <w:top w:val="nil"/>
              <w:left w:val="nil"/>
              <w:bottom w:val="nil"/>
              <w:right w:val="nil"/>
            </w:tcBorders>
            <w:shd w:val="clear" w:color="auto" w:fill="auto"/>
            <w:noWrap/>
            <w:vAlign w:val="bottom"/>
            <w:hideMark/>
          </w:tcPr>
          <w:p w14:paraId="277F79A3" w14:textId="77777777" w:rsidR="003305BD" w:rsidRPr="009F1435" w:rsidRDefault="003305BD" w:rsidP="00385846">
            <w:pPr>
              <w:rPr>
                <w:color w:val="000000"/>
                <w:sz w:val="14"/>
              </w:rPr>
            </w:pPr>
          </w:p>
        </w:tc>
      </w:tr>
      <w:tr w:rsidR="003305BD" w:rsidRPr="009F1435" w14:paraId="784197A2" w14:textId="77777777" w:rsidTr="001F44F4">
        <w:trPr>
          <w:trHeight w:val="227"/>
          <w:jc w:val="right"/>
        </w:trPr>
        <w:tc>
          <w:tcPr>
            <w:tcW w:w="2552" w:type="dxa"/>
            <w:tcBorders>
              <w:top w:val="nil"/>
              <w:left w:val="single" w:sz="4" w:space="0" w:color="auto"/>
              <w:bottom w:val="single" w:sz="4" w:space="0" w:color="auto"/>
              <w:right w:val="nil"/>
            </w:tcBorders>
            <w:shd w:val="clear" w:color="auto" w:fill="auto"/>
            <w:noWrap/>
            <w:vAlign w:val="center"/>
            <w:hideMark/>
          </w:tcPr>
          <w:p w14:paraId="65DF5EA5" w14:textId="77777777" w:rsidR="003305BD" w:rsidRPr="009F1435" w:rsidRDefault="003305BD" w:rsidP="00385846">
            <w:pPr>
              <w:rPr>
                <w:b/>
                <w:bCs/>
                <w:color w:val="000000"/>
                <w:sz w:val="14"/>
                <w:szCs w:val="20"/>
              </w:rPr>
            </w:pPr>
            <w:r w:rsidRPr="009F1435">
              <w:rPr>
                <w:b/>
                <w:bCs/>
                <w:color w:val="000000"/>
                <w:sz w:val="14"/>
                <w:szCs w:val="20"/>
              </w:rPr>
              <w:t xml:space="preserve">OTROS COSTOS </w:t>
            </w:r>
            <w:r w:rsidRPr="009F1435">
              <w:rPr>
                <w:color w:val="000000"/>
                <w:sz w:val="14"/>
                <w:szCs w:val="20"/>
              </w:rPr>
              <w:t>(Gerencia, interventoría, financieros)</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53ECE89" w14:textId="77777777" w:rsidR="003305BD" w:rsidRPr="009F1435" w:rsidRDefault="003305BD" w:rsidP="00385846">
            <w:pPr>
              <w:jc w:val="right"/>
              <w:rPr>
                <w:b/>
                <w:bCs/>
                <w:color w:val="000000"/>
                <w:sz w:val="14"/>
              </w:rPr>
            </w:pPr>
            <w:r w:rsidRPr="009F1435">
              <w:rPr>
                <w:b/>
                <w:bCs/>
                <w:color w:val="000000"/>
                <w:sz w:val="14"/>
              </w:rPr>
              <w:t xml:space="preserve">20.933.652.242 </w:t>
            </w:r>
          </w:p>
        </w:tc>
        <w:tc>
          <w:tcPr>
            <w:tcW w:w="1134" w:type="dxa"/>
            <w:tcBorders>
              <w:top w:val="nil"/>
              <w:left w:val="nil"/>
              <w:bottom w:val="single" w:sz="4" w:space="0" w:color="auto"/>
              <w:right w:val="single" w:sz="4" w:space="0" w:color="auto"/>
            </w:tcBorders>
            <w:shd w:val="clear" w:color="auto" w:fill="auto"/>
            <w:noWrap/>
            <w:vAlign w:val="center"/>
            <w:hideMark/>
          </w:tcPr>
          <w:p w14:paraId="15863B82" w14:textId="77777777" w:rsidR="003305BD" w:rsidRPr="009F1435" w:rsidRDefault="003305BD" w:rsidP="00385846">
            <w:pPr>
              <w:jc w:val="right"/>
              <w:rPr>
                <w:color w:val="000000"/>
                <w:sz w:val="14"/>
              </w:rPr>
            </w:pPr>
            <w:r w:rsidRPr="009F1435">
              <w:rPr>
                <w:color w:val="000000"/>
                <w:sz w:val="14"/>
              </w:rPr>
              <w:t> </w:t>
            </w:r>
          </w:p>
        </w:tc>
        <w:tc>
          <w:tcPr>
            <w:tcW w:w="567" w:type="dxa"/>
            <w:tcBorders>
              <w:top w:val="nil"/>
              <w:left w:val="nil"/>
              <w:bottom w:val="single" w:sz="4" w:space="0" w:color="auto"/>
              <w:right w:val="nil"/>
            </w:tcBorders>
            <w:shd w:val="clear" w:color="auto" w:fill="auto"/>
            <w:noWrap/>
            <w:vAlign w:val="center"/>
            <w:hideMark/>
          </w:tcPr>
          <w:p w14:paraId="59A5A69E" w14:textId="77777777" w:rsidR="003305BD" w:rsidRPr="009F1435" w:rsidRDefault="003305BD" w:rsidP="00385846">
            <w:pPr>
              <w:jc w:val="right"/>
              <w:rPr>
                <w:b/>
                <w:bCs/>
                <w:color w:val="000000"/>
                <w:sz w:val="14"/>
              </w:rPr>
            </w:pPr>
          </w:p>
        </w:tc>
        <w:tc>
          <w:tcPr>
            <w:tcW w:w="1134" w:type="dxa"/>
            <w:tcBorders>
              <w:top w:val="nil"/>
              <w:left w:val="single" w:sz="4" w:space="0" w:color="auto"/>
              <w:bottom w:val="single" w:sz="4" w:space="0" w:color="auto"/>
              <w:right w:val="nil"/>
            </w:tcBorders>
            <w:shd w:val="clear" w:color="auto" w:fill="auto"/>
            <w:noWrap/>
            <w:vAlign w:val="center"/>
            <w:hideMark/>
          </w:tcPr>
          <w:p w14:paraId="42F5E4AC" w14:textId="77777777" w:rsidR="003305BD" w:rsidRPr="009F1435" w:rsidRDefault="003305BD" w:rsidP="00385846">
            <w:pPr>
              <w:jc w:val="right"/>
              <w:rPr>
                <w:color w:val="000000"/>
                <w:sz w:val="14"/>
              </w:rPr>
            </w:pPr>
            <w:r w:rsidRPr="009F1435">
              <w:rPr>
                <w:color w:val="000000"/>
                <w:sz w:val="14"/>
              </w:rPr>
              <w:t> </w:t>
            </w:r>
          </w:p>
        </w:tc>
        <w:tc>
          <w:tcPr>
            <w:tcW w:w="1015" w:type="dxa"/>
            <w:tcBorders>
              <w:top w:val="nil"/>
              <w:left w:val="nil"/>
              <w:bottom w:val="single" w:sz="4" w:space="0" w:color="auto"/>
              <w:right w:val="single" w:sz="4" w:space="0" w:color="auto"/>
            </w:tcBorders>
            <w:shd w:val="clear" w:color="auto" w:fill="auto"/>
            <w:noWrap/>
            <w:vAlign w:val="center"/>
            <w:hideMark/>
          </w:tcPr>
          <w:p w14:paraId="6E527C30" w14:textId="77777777" w:rsidR="003305BD" w:rsidRPr="009F1435" w:rsidRDefault="003305BD" w:rsidP="00385846">
            <w:pPr>
              <w:jc w:val="right"/>
              <w:rPr>
                <w:color w:val="000000"/>
                <w:sz w:val="14"/>
              </w:rPr>
            </w:pPr>
            <w:r w:rsidRPr="009F1435">
              <w:rPr>
                <w:color w:val="000000"/>
                <w:sz w:val="14"/>
              </w:rPr>
              <w:t> </w:t>
            </w:r>
          </w:p>
        </w:tc>
        <w:tc>
          <w:tcPr>
            <w:tcW w:w="969" w:type="dxa"/>
            <w:tcBorders>
              <w:top w:val="nil"/>
              <w:left w:val="nil"/>
              <w:bottom w:val="nil"/>
              <w:right w:val="nil"/>
            </w:tcBorders>
            <w:shd w:val="clear" w:color="auto" w:fill="auto"/>
            <w:noWrap/>
            <w:vAlign w:val="bottom"/>
            <w:hideMark/>
          </w:tcPr>
          <w:p w14:paraId="6D73383E" w14:textId="77777777" w:rsidR="003305BD" w:rsidRPr="009F1435" w:rsidRDefault="003305BD" w:rsidP="00385846">
            <w:pPr>
              <w:rPr>
                <w:color w:val="000000"/>
                <w:sz w:val="14"/>
              </w:rPr>
            </w:pPr>
          </w:p>
        </w:tc>
      </w:tr>
      <w:tr w:rsidR="003305BD" w:rsidRPr="009F1435" w14:paraId="209AF751" w14:textId="77777777" w:rsidTr="001F44F4">
        <w:trPr>
          <w:trHeight w:val="404"/>
          <w:jc w:val="right"/>
        </w:trPr>
        <w:tc>
          <w:tcPr>
            <w:tcW w:w="2552" w:type="dxa"/>
            <w:tcBorders>
              <w:top w:val="nil"/>
              <w:left w:val="single" w:sz="4" w:space="0" w:color="auto"/>
              <w:bottom w:val="nil"/>
              <w:right w:val="nil"/>
            </w:tcBorders>
            <w:shd w:val="clear" w:color="000000" w:fill="D9D9D9"/>
            <w:noWrap/>
            <w:vAlign w:val="center"/>
            <w:hideMark/>
          </w:tcPr>
          <w:p w14:paraId="425E49DF" w14:textId="77777777" w:rsidR="00D216BC" w:rsidRDefault="00D216BC" w:rsidP="00385846">
            <w:pPr>
              <w:rPr>
                <w:b/>
                <w:bCs/>
                <w:color w:val="000000"/>
                <w:sz w:val="14"/>
              </w:rPr>
            </w:pPr>
            <w:r w:rsidRPr="009F1435">
              <w:rPr>
                <w:b/>
                <w:bCs/>
                <w:color w:val="000000"/>
                <w:sz w:val="14"/>
              </w:rPr>
              <w:t>SUBTOTAL</w:t>
            </w:r>
          </w:p>
          <w:p w14:paraId="07631E76" w14:textId="2D982F60" w:rsidR="003305BD" w:rsidRPr="009F1435" w:rsidRDefault="00D216BC" w:rsidP="00385846">
            <w:pPr>
              <w:rPr>
                <w:b/>
                <w:bCs/>
                <w:color w:val="000000"/>
                <w:sz w:val="14"/>
              </w:rPr>
            </w:pPr>
            <w:r w:rsidRPr="009F1435">
              <w:rPr>
                <w:b/>
                <w:bCs/>
                <w:color w:val="000000"/>
                <w:sz w:val="14"/>
              </w:rPr>
              <w:t>PRE-INVERSIÓN + EJECUCIÓN</w:t>
            </w:r>
          </w:p>
        </w:tc>
        <w:tc>
          <w:tcPr>
            <w:tcW w:w="1134" w:type="dxa"/>
            <w:tcBorders>
              <w:top w:val="nil"/>
              <w:left w:val="single" w:sz="4" w:space="0" w:color="auto"/>
              <w:bottom w:val="nil"/>
              <w:right w:val="single" w:sz="4" w:space="0" w:color="auto"/>
            </w:tcBorders>
            <w:shd w:val="clear" w:color="000000" w:fill="D9D9D9"/>
            <w:noWrap/>
            <w:vAlign w:val="center"/>
            <w:hideMark/>
          </w:tcPr>
          <w:p w14:paraId="00944B0B" w14:textId="77777777" w:rsidR="003305BD" w:rsidRPr="009F1435" w:rsidRDefault="003305BD" w:rsidP="00385846">
            <w:pPr>
              <w:jc w:val="right"/>
              <w:rPr>
                <w:b/>
                <w:bCs/>
                <w:color w:val="000000"/>
                <w:sz w:val="14"/>
              </w:rPr>
            </w:pPr>
          </w:p>
        </w:tc>
        <w:tc>
          <w:tcPr>
            <w:tcW w:w="1134" w:type="dxa"/>
            <w:tcBorders>
              <w:top w:val="nil"/>
              <w:left w:val="nil"/>
              <w:bottom w:val="nil"/>
              <w:right w:val="single" w:sz="4" w:space="0" w:color="auto"/>
            </w:tcBorders>
            <w:shd w:val="clear" w:color="000000" w:fill="D9D9D9"/>
            <w:noWrap/>
            <w:vAlign w:val="center"/>
            <w:hideMark/>
          </w:tcPr>
          <w:p w14:paraId="540FA4FC" w14:textId="77777777" w:rsidR="003305BD" w:rsidRPr="009F1435" w:rsidRDefault="003305BD" w:rsidP="00385846">
            <w:pPr>
              <w:jc w:val="right"/>
              <w:rPr>
                <w:b/>
                <w:bCs/>
                <w:color w:val="000000"/>
                <w:sz w:val="14"/>
              </w:rPr>
            </w:pPr>
            <w:r w:rsidRPr="009F1435">
              <w:rPr>
                <w:b/>
                <w:bCs/>
                <w:color w:val="000000"/>
                <w:sz w:val="14"/>
              </w:rPr>
              <w:t xml:space="preserve">201.422.753.380 </w:t>
            </w:r>
          </w:p>
        </w:tc>
        <w:tc>
          <w:tcPr>
            <w:tcW w:w="567" w:type="dxa"/>
            <w:tcBorders>
              <w:top w:val="nil"/>
              <w:left w:val="nil"/>
              <w:bottom w:val="nil"/>
              <w:right w:val="nil"/>
            </w:tcBorders>
            <w:shd w:val="clear" w:color="auto" w:fill="auto"/>
            <w:noWrap/>
            <w:vAlign w:val="center"/>
            <w:hideMark/>
          </w:tcPr>
          <w:p w14:paraId="77393608" w14:textId="77777777" w:rsidR="003305BD" w:rsidRPr="009F1435" w:rsidRDefault="003305BD" w:rsidP="00385846">
            <w:pPr>
              <w:jc w:val="right"/>
              <w:rPr>
                <w:b/>
                <w:bCs/>
                <w:color w:val="000000"/>
                <w:sz w:val="14"/>
              </w:rPr>
            </w:pPr>
          </w:p>
        </w:tc>
        <w:tc>
          <w:tcPr>
            <w:tcW w:w="1134" w:type="dxa"/>
            <w:tcBorders>
              <w:top w:val="nil"/>
              <w:left w:val="single" w:sz="4" w:space="0" w:color="auto"/>
              <w:bottom w:val="nil"/>
              <w:right w:val="nil"/>
            </w:tcBorders>
            <w:shd w:val="clear" w:color="auto" w:fill="auto"/>
            <w:noWrap/>
            <w:vAlign w:val="center"/>
            <w:hideMark/>
          </w:tcPr>
          <w:p w14:paraId="68DAB815" w14:textId="77777777" w:rsidR="003305BD" w:rsidRPr="009F1435" w:rsidRDefault="003305BD" w:rsidP="00385846">
            <w:pPr>
              <w:jc w:val="right"/>
              <w:rPr>
                <w:color w:val="000000"/>
                <w:sz w:val="14"/>
              </w:rPr>
            </w:pPr>
            <w:r w:rsidRPr="009F1435">
              <w:rPr>
                <w:color w:val="000000"/>
                <w:sz w:val="14"/>
              </w:rPr>
              <w:t> </w:t>
            </w:r>
          </w:p>
        </w:tc>
        <w:tc>
          <w:tcPr>
            <w:tcW w:w="1015" w:type="dxa"/>
            <w:tcBorders>
              <w:top w:val="nil"/>
              <w:left w:val="nil"/>
              <w:bottom w:val="nil"/>
              <w:right w:val="single" w:sz="4" w:space="0" w:color="auto"/>
            </w:tcBorders>
            <w:shd w:val="clear" w:color="auto" w:fill="auto"/>
            <w:noWrap/>
            <w:vAlign w:val="center"/>
            <w:hideMark/>
          </w:tcPr>
          <w:p w14:paraId="29D4DC1D" w14:textId="77777777" w:rsidR="003305BD" w:rsidRPr="009F1435" w:rsidRDefault="003305BD" w:rsidP="00385846">
            <w:pPr>
              <w:jc w:val="right"/>
              <w:rPr>
                <w:color w:val="000000"/>
                <w:sz w:val="14"/>
              </w:rPr>
            </w:pPr>
            <w:r w:rsidRPr="009F1435">
              <w:rPr>
                <w:color w:val="000000"/>
                <w:sz w:val="14"/>
              </w:rPr>
              <w:t> </w:t>
            </w:r>
          </w:p>
        </w:tc>
        <w:tc>
          <w:tcPr>
            <w:tcW w:w="969" w:type="dxa"/>
            <w:tcBorders>
              <w:top w:val="nil"/>
              <w:left w:val="nil"/>
              <w:bottom w:val="nil"/>
              <w:right w:val="nil"/>
            </w:tcBorders>
            <w:shd w:val="clear" w:color="auto" w:fill="auto"/>
            <w:noWrap/>
            <w:vAlign w:val="bottom"/>
            <w:hideMark/>
          </w:tcPr>
          <w:p w14:paraId="660D203F" w14:textId="77777777" w:rsidR="003305BD" w:rsidRPr="009F1435" w:rsidRDefault="003305BD" w:rsidP="00385846">
            <w:pPr>
              <w:rPr>
                <w:color w:val="000000"/>
                <w:sz w:val="14"/>
              </w:rPr>
            </w:pPr>
          </w:p>
        </w:tc>
      </w:tr>
      <w:tr w:rsidR="003305BD" w:rsidRPr="009F1435" w14:paraId="122D3BB7" w14:textId="77777777" w:rsidTr="001F44F4">
        <w:trPr>
          <w:trHeight w:val="310"/>
          <w:jc w:val="right"/>
        </w:trPr>
        <w:tc>
          <w:tcPr>
            <w:tcW w:w="2552" w:type="dxa"/>
            <w:tcBorders>
              <w:top w:val="single" w:sz="4" w:space="0" w:color="auto"/>
              <w:left w:val="single" w:sz="4" w:space="0" w:color="auto"/>
              <w:bottom w:val="nil"/>
              <w:right w:val="nil"/>
            </w:tcBorders>
            <w:shd w:val="clear" w:color="000000" w:fill="E2EFDA"/>
            <w:noWrap/>
            <w:vAlign w:val="center"/>
            <w:hideMark/>
          </w:tcPr>
          <w:p w14:paraId="740E9D83" w14:textId="77777777" w:rsidR="003305BD" w:rsidRPr="009F1435" w:rsidRDefault="003305BD" w:rsidP="00385846">
            <w:pPr>
              <w:rPr>
                <w:b/>
                <w:bCs/>
                <w:color w:val="000000"/>
                <w:sz w:val="14"/>
              </w:rPr>
            </w:pPr>
            <w:r w:rsidRPr="009F1435">
              <w:rPr>
                <w:b/>
                <w:bCs/>
                <w:color w:val="000000"/>
                <w:sz w:val="14"/>
              </w:rPr>
              <w:t>DOTACION</w:t>
            </w:r>
          </w:p>
        </w:tc>
        <w:tc>
          <w:tcPr>
            <w:tcW w:w="1134" w:type="dxa"/>
            <w:tcBorders>
              <w:top w:val="single" w:sz="4" w:space="0" w:color="auto"/>
              <w:left w:val="single" w:sz="4" w:space="0" w:color="auto"/>
              <w:bottom w:val="nil"/>
              <w:right w:val="single" w:sz="4" w:space="0" w:color="auto"/>
            </w:tcBorders>
            <w:shd w:val="clear" w:color="000000" w:fill="E2EFDA"/>
            <w:noWrap/>
            <w:vAlign w:val="center"/>
            <w:hideMark/>
          </w:tcPr>
          <w:p w14:paraId="6FBDA88B" w14:textId="77777777" w:rsidR="003305BD" w:rsidRPr="009F1435" w:rsidRDefault="003305BD" w:rsidP="00385846">
            <w:pPr>
              <w:jc w:val="right"/>
              <w:rPr>
                <w:b/>
                <w:bCs/>
                <w:color w:val="000000"/>
                <w:sz w:val="14"/>
              </w:rPr>
            </w:pPr>
          </w:p>
        </w:tc>
        <w:tc>
          <w:tcPr>
            <w:tcW w:w="1134" w:type="dxa"/>
            <w:tcBorders>
              <w:top w:val="single" w:sz="4" w:space="0" w:color="auto"/>
              <w:left w:val="nil"/>
              <w:bottom w:val="nil"/>
              <w:right w:val="single" w:sz="4" w:space="0" w:color="auto"/>
            </w:tcBorders>
            <w:shd w:val="clear" w:color="000000" w:fill="E2EFDA"/>
            <w:noWrap/>
            <w:vAlign w:val="center"/>
            <w:hideMark/>
          </w:tcPr>
          <w:p w14:paraId="59F7C35F" w14:textId="77777777" w:rsidR="003305BD" w:rsidRPr="009F1435" w:rsidRDefault="003305BD" w:rsidP="00385846">
            <w:pPr>
              <w:jc w:val="right"/>
              <w:rPr>
                <w:b/>
                <w:bCs/>
                <w:color w:val="000000"/>
                <w:sz w:val="14"/>
              </w:rPr>
            </w:pPr>
            <w:r w:rsidRPr="009F1435">
              <w:rPr>
                <w:b/>
                <w:bCs/>
                <w:color w:val="000000"/>
                <w:sz w:val="14"/>
              </w:rPr>
              <w:t xml:space="preserve">30.210.495.660 </w:t>
            </w:r>
          </w:p>
        </w:tc>
        <w:tc>
          <w:tcPr>
            <w:tcW w:w="567" w:type="dxa"/>
            <w:tcBorders>
              <w:top w:val="single" w:sz="4" w:space="0" w:color="auto"/>
              <w:left w:val="nil"/>
              <w:bottom w:val="nil"/>
              <w:right w:val="nil"/>
            </w:tcBorders>
            <w:shd w:val="clear" w:color="000000" w:fill="E2EFDA"/>
            <w:noWrap/>
            <w:vAlign w:val="center"/>
            <w:hideMark/>
          </w:tcPr>
          <w:p w14:paraId="110EFC7D" w14:textId="77777777" w:rsidR="003305BD" w:rsidRPr="009F1435" w:rsidRDefault="003305BD" w:rsidP="00385846">
            <w:pPr>
              <w:jc w:val="right"/>
              <w:rPr>
                <w:b/>
                <w:bCs/>
                <w:color w:val="000000"/>
                <w:sz w:val="14"/>
              </w:rPr>
            </w:pPr>
            <w:r w:rsidRPr="009F1435">
              <w:rPr>
                <w:b/>
                <w:bCs/>
                <w:color w:val="000000"/>
                <w:sz w:val="14"/>
              </w:rPr>
              <w:t>13%</w:t>
            </w:r>
          </w:p>
        </w:tc>
        <w:tc>
          <w:tcPr>
            <w:tcW w:w="1134" w:type="dxa"/>
            <w:tcBorders>
              <w:top w:val="single" w:sz="4" w:space="0" w:color="auto"/>
              <w:left w:val="single" w:sz="4" w:space="0" w:color="auto"/>
              <w:bottom w:val="nil"/>
              <w:right w:val="nil"/>
            </w:tcBorders>
            <w:shd w:val="clear" w:color="000000" w:fill="E2EFDA"/>
            <w:noWrap/>
            <w:vAlign w:val="center"/>
            <w:hideMark/>
          </w:tcPr>
          <w:p w14:paraId="06F90D3F" w14:textId="77777777" w:rsidR="003305BD" w:rsidRPr="009F1435" w:rsidRDefault="003305BD" w:rsidP="00385846">
            <w:pPr>
              <w:jc w:val="right"/>
              <w:rPr>
                <w:color w:val="000000"/>
                <w:sz w:val="14"/>
              </w:rPr>
            </w:pPr>
            <w:r w:rsidRPr="009F1435">
              <w:rPr>
                <w:color w:val="000000"/>
                <w:sz w:val="14"/>
              </w:rPr>
              <w:t xml:space="preserve">30.210.495.660 </w:t>
            </w:r>
          </w:p>
        </w:tc>
        <w:tc>
          <w:tcPr>
            <w:tcW w:w="1015" w:type="dxa"/>
            <w:tcBorders>
              <w:top w:val="single" w:sz="4" w:space="0" w:color="auto"/>
              <w:left w:val="nil"/>
              <w:bottom w:val="nil"/>
              <w:right w:val="single" w:sz="4" w:space="0" w:color="auto"/>
            </w:tcBorders>
            <w:shd w:val="clear" w:color="000000" w:fill="E2EFDA"/>
            <w:noWrap/>
            <w:vAlign w:val="center"/>
            <w:hideMark/>
          </w:tcPr>
          <w:p w14:paraId="1B7DE874" w14:textId="77777777" w:rsidR="003305BD" w:rsidRPr="009F1435" w:rsidRDefault="003305BD" w:rsidP="00385846">
            <w:pPr>
              <w:jc w:val="right"/>
              <w:rPr>
                <w:color w:val="000000"/>
                <w:sz w:val="14"/>
              </w:rPr>
            </w:pPr>
            <w:r w:rsidRPr="009F1435">
              <w:rPr>
                <w:color w:val="000000"/>
                <w:sz w:val="14"/>
              </w:rPr>
              <w:t> </w:t>
            </w:r>
          </w:p>
        </w:tc>
        <w:tc>
          <w:tcPr>
            <w:tcW w:w="969" w:type="dxa"/>
            <w:tcBorders>
              <w:top w:val="nil"/>
              <w:left w:val="nil"/>
              <w:bottom w:val="nil"/>
              <w:right w:val="nil"/>
            </w:tcBorders>
            <w:shd w:val="clear" w:color="auto" w:fill="auto"/>
            <w:noWrap/>
            <w:vAlign w:val="bottom"/>
            <w:hideMark/>
          </w:tcPr>
          <w:p w14:paraId="484B7751" w14:textId="77777777" w:rsidR="003305BD" w:rsidRPr="009F1435" w:rsidRDefault="003305BD" w:rsidP="00385846">
            <w:pPr>
              <w:rPr>
                <w:color w:val="000000"/>
                <w:sz w:val="14"/>
              </w:rPr>
            </w:pPr>
          </w:p>
        </w:tc>
      </w:tr>
      <w:tr w:rsidR="003305BD" w:rsidRPr="009F1435" w14:paraId="78B014CB" w14:textId="77777777" w:rsidTr="001F44F4">
        <w:trPr>
          <w:trHeight w:val="227"/>
          <w:jc w:val="right"/>
        </w:trPr>
        <w:tc>
          <w:tcPr>
            <w:tcW w:w="2552" w:type="dxa"/>
            <w:tcBorders>
              <w:top w:val="nil"/>
              <w:left w:val="single" w:sz="4" w:space="0" w:color="auto"/>
              <w:bottom w:val="nil"/>
              <w:right w:val="nil"/>
            </w:tcBorders>
            <w:shd w:val="clear" w:color="auto" w:fill="auto"/>
            <w:noWrap/>
            <w:vAlign w:val="center"/>
            <w:hideMark/>
          </w:tcPr>
          <w:p w14:paraId="6C58946C" w14:textId="77777777" w:rsidR="003305BD" w:rsidRPr="009F1435" w:rsidRDefault="003305BD" w:rsidP="00385846">
            <w:pPr>
              <w:rPr>
                <w:color w:val="000000"/>
                <w:sz w:val="14"/>
                <w:szCs w:val="20"/>
              </w:rPr>
            </w:pPr>
            <w:r w:rsidRPr="009F1435">
              <w:rPr>
                <w:color w:val="000000"/>
                <w:sz w:val="14"/>
                <w:szCs w:val="20"/>
              </w:rPr>
              <w:t>SOPORTE 1 - COMPLEMENTO ACADÉMICO</w:t>
            </w:r>
          </w:p>
        </w:tc>
        <w:tc>
          <w:tcPr>
            <w:tcW w:w="1134" w:type="dxa"/>
            <w:tcBorders>
              <w:top w:val="nil"/>
              <w:left w:val="single" w:sz="4" w:space="0" w:color="auto"/>
              <w:bottom w:val="nil"/>
              <w:right w:val="single" w:sz="4" w:space="0" w:color="auto"/>
            </w:tcBorders>
            <w:shd w:val="clear" w:color="auto" w:fill="auto"/>
            <w:noWrap/>
            <w:vAlign w:val="center"/>
            <w:hideMark/>
          </w:tcPr>
          <w:p w14:paraId="1D42F53D" w14:textId="77777777" w:rsidR="003305BD" w:rsidRPr="009F1435" w:rsidRDefault="003305BD" w:rsidP="00385846">
            <w:pPr>
              <w:jc w:val="right"/>
              <w:rPr>
                <w:color w:val="000000"/>
                <w:sz w:val="14"/>
              </w:rPr>
            </w:pPr>
            <w:r w:rsidRPr="009F1435">
              <w:rPr>
                <w:color w:val="000000"/>
                <w:sz w:val="14"/>
              </w:rPr>
              <w:t xml:space="preserve">3.700.060.727 </w:t>
            </w:r>
          </w:p>
        </w:tc>
        <w:tc>
          <w:tcPr>
            <w:tcW w:w="1134" w:type="dxa"/>
            <w:tcBorders>
              <w:top w:val="nil"/>
              <w:left w:val="nil"/>
              <w:bottom w:val="nil"/>
              <w:right w:val="single" w:sz="4" w:space="0" w:color="auto"/>
            </w:tcBorders>
            <w:shd w:val="clear" w:color="auto" w:fill="auto"/>
            <w:noWrap/>
            <w:vAlign w:val="center"/>
            <w:hideMark/>
          </w:tcPr>
          <w:p w14:paraId="2CC6DE55" w14:textId="77777777" w:rsidR="003305BD" w:rsidRPr="009F1435" w:rsidRDefault="003305BD" w:rsidP="00385846">
            <w:pPr>
              <w:jc w:val="right"/>
              <w:rPr>
                <w:color w:val="000000"/>
                <w:sz w:val="14"/>
              </w:rPr>
            </w:pPr>
            <w:r w:rsidRPr="009F1435">
              <w:rPr>
                <w:color w:val="000000"/>
                <w:sz w:val="14"/>
              </w:rPr>
              <w:t> </w:t>
            </w:r>
          </w:p>
        </w:tc>
        <w:tc>
          <w:tcPr>
            <w:tcW w:w="567" w:type="dxa"/>
            <w:tcBorders>
              <w:top w:val="nil"/>
              <w:left w:val="nil"/>
              <w:bottom w:val="nil"/>
              <w:right w:val="nil"/>
            </w:tcBorders>
            <w:shd w:val="clear" w:color="auto" w:fill="auto"/>
            <w:noWrap/>
            <w:vAlign w:val="center"/>
            <w:hideMark/>
          </w:tcPr>
          <w:p w14:paraId="644C2D0E" w14:textId="77777777" w:rsidR="003305BD" w:rsidRPr="009F1435" w:rsidRDefault="003305BD" w:rsidP="00385846">
            <w:pPr>
              <w:jc w:val="right"/>
              <w:rPr>
                <w:b/>
                <w:bCs/>
                <w:color w:val="000000"/>
                <w:sz w:val="14"/>
              </w:rPr>
            </w:pPr>
          </w:p>
        </w:tc>
        <w:tc>
          <w:tcPr>
            <w:tcW w:w="1134" w:type="dxa"/>
            <w:tcBorders>
              <w:top w:val="nil"/>
              <w:left w:val="single" w:sz="4" w:space="0" w:color="auto"/>
              <w:bottom w:val="nil"/>
              <w:right w:val="nil"/>
            </w:tcBorders>
            <w:shd w:val="clear" w:color="auto" w:fill="auto"/>
            <w:noWrap/>
            <w:vAlign w:val="center"/>
            <w:hideMark/>
          </w:tcPr>
          <w:p w14:paraId="59696B8B" w14:textId="77777777" w:rsidR="003305BD" w:rsidRPr="009F1435" w:rsidRDefault="003305BD" w:rsidP="00385846">
            <w:pPr>
              <w:jc w:val="right"/>
              <w:rPr>
                <w:color w:val="000000"/>
                <w:sz w:val="14"/>
              </w:rPr>
            </w:pPr>
            <w:r w:rsidRPr="009F1435">
              <w:rPr>
                <w:color w:val="000000"/>
                <w:sz w:val="14"/>
              </w:rPr>
              <w:t> </w:t>
            </w:r>
          </w:p>
        </w:tc>
        <w:tc>
          <w:tcPr>
            <w:tcW w:w="1015" w:type="dxa"/>
            <w:tcBorders>
              <w:top w:val="nil"/>
              <w:left w:val="nil"/>
              <w:bottom w:val="nil"/>
              <w:right w:val="single" w:sz="4" w:space="0" w:color="auto"/>
            </w:tcBorders>
            <w:shd w:val="clear" w:color="auto" w:fill="auto"/>
            <w:noWrap/>
            <w:vAlign w:val="center"/>
            <w:hideMark/>
          </w:tcPr>
          <w:p w14:paraId="3C4F9E32" w14:textId="77777777" w:rsidR="003305BD" w:rsidRPr="009F1435" w:rsidRDefault="003305BD" w:rsidP="00385846">
            <w:pPr>
              <w:jc w:val="right"/>
              <w:rPr>
                <w:color w:val="000000"/>
                <w:sz w:val="14"/>
              </w:rPr>
            </w:pPr>
            <w:r w:rsidRPr="009F1435">
              <w:rPr>
                <w:color w:val="000000"/>
                <w:sz w:val="14"/>
              </w:rPr>
              <w:t> </w:t>
            </w:r>
          </w:p>
        </w:tc>
        <w:tc>
          <w:tcPr>
            <w:tcW w:w="969" w:type="dxa"/>
            <w:tcBorders>
              <w:top w:val="nil"/>
              <w:left w:val="nil"/>
              <w:bottom w:val="nil"/>
              <w:right w:val="nil"/>
            </w:tcBorders>
            <w:shd w:val="clear" w:color="auto" w:fill="auto"/>
            <w:noWrap/>
            <w:vAlign w:val="bottom"/>
            <w:hideMark/>
          </w:tcPr>
          <w:p w14:paraId="5574B0D1" w14:textId="77777777" w:rsidR="003305BD" w:rsidRPr="009F1435" w:rsidRDefault="003305BD" w:rsidP="00385846">
            <w:pPr>
              <w:rPr>
                <w:color w:val="000000"/>
                <w:sz w:val="14"/>
              </w:rPr>
            </w:pPr>
          </w:p>
        </w:tc>
      </w:tr>
      <w:tr w:rsidR="003305BD" w:rsidRPr="009F1435" w14:paraId="70B2DFA5" w14:textId="77777777" w:rsidTr="001F44F4">
        <w:trPr>
          <w:trHeight w:val="227"/>
          <w:jc w:val="right"/>
        </w:trPr>
        <w:tc>
          <w:tcPr>
            <w:tcW w:w="2552" w:type="dxa"/>
            <w:tcBorders>
              <w:top w:val="nil"/>
              <w:left w:val="single" w:sz="4" w:space="0" w:color="auto"/>
              <w:bottom w:val="nil"/>
              <w:right w:val="nil"/>
            </w:tcBorders>
            <w:shd w:val="clear" w:color="auto" w:fill="auto"/>
            <w:noWrap/>
            <w:vAlign w:val="center"/>
            <w:hideMark/>
          </w:tcPr>
          <w:p w14:paraId="161AABE8" w14:textId="694E1E81" w:rsidR="003305BD" w:rsidRPr="009F1435" w:rsidRDefault="003305BD" w:rsidP="00385846">
            <w:pPr>
              <w:rPr>
                <w:color w:val="000000"/>
                <w:sz w:val="14"/>
                <w:szCs w:val="20"/>
              </w:rPr>
            </w:pPr>
            <w:r w:rsidRPr="009F1435">
              <w:rPr>
                <w:color w:val="000000"/>
                <w:sz w:val="14"/>
                <w:szCs w:val="20"/>
              </w:rPr>
              <w:t xml:space="preserve">SOPORTE 2 </w:t>
            </w:r>
            <w:r w:rsidR="003F7C70">
              <w:rPr>
                <w:color w:val="000000"/>
                <w:sz w:val="14"/>
                <w:szCs w:val="20"/>
              </w:rPr>
              <w:t>–</w:t>
            </w:r>
            <w:r w:rsidRPr="009F1435">
              <w:rPr>
                <w:color w:val="000000"/>
                <w:sz w:val="14"/>
                <w:szCs w:val="20"/>
              </w:rPr>
              <w:t xml:space="preserve"> PROYECCIÓN</w:t>
            </w:r>
          </w:p>
        </w:tc>
        <w:tc>
          <w:tcPr>
            <w:tcW w:w="1134" w:type="dxa"/>
            <w:tcBorders>
              <w:top w:val="nil"/>
              <w:left w:val="single" w:sz="4" w:space="0" w:color="auto"/>
              <w:bottom w:val="nil"/>
              <w:right w:val="single" w:sz="4" w:space="0" w:color="auto"/>
            </w:tcBorders>
            <w:shd w:val="clear" w:color="auto" w:fill="auto"/>
            <w:noWrap/>
            <w:vAlign w:val="center"/>
            <w:hideMark/>
          </w:tcPr>
          <w:p w14:paraId="18419603" w14:textId="77777777" w:rsidR="003305BD" w:rsidRPr="009F1435" w:rsidRDefault="003305BD" w:rsidP="00385846">
            <w:pPr>
              <w:jc w:val="right"/>
              <w:rPr>
                <w:color w:val="000000"/>
                <w:sz w:val="14"/>
              </w:rPr>
            </w:pPr>
            <w:r w:rsidRPr="009F1435">
              <w:rPr>
                <w:color w:val="000000"/>
                <w:sz w:val="14"/>
              </w:rPr>
              <w:t xml:space="preserve">49.750.000 </w:t>
            </w:r>
          </w:p>
        </w:tc>
        <w:tc>
          <w:tcPr>
            <w:tcW w:w="1134" w:type="dxa"/>
            <w:tcBorders>
              <w:top w:val="nil"/>
              <w:left w:val="nil"/>
              <w:bottom w:val="nil"/>
              <w:right w:val="single" w:sz="4" w:space="0" w:color="auto"/>
            </w:tcBorders>
            <w:shd w:val="clear" w:color="auto" w:fill="auto"/>
            <w:noWrap/>
            <w:vAlign w:val="center"/>
            <w:hideMark/>
          </w:tcPr>
          <w:p w14:paraId="2724A372" w14:textId="77777777" w:rsidR="003305BD" w:rsidRPr="009F1435" w:rsidRDefault="003305BD" w:rsidP="00385846">
            <w:pPr>
              <w:jc w:val="right"/>
              <w:rPr>
                <w:color w:val="000000"/>
                <w:sz w:val="14"/>
              </w:rPr>
            </w:pPr>
            <w:r w:rsidRPr="009F1435">
              <w:rPr>
                <w:color w:val="000000"/>
                <w:sz w:val="14"/>
              </w:rPr>
              <w:t> </w:t>
            </w:r>
          </w:p>
        </w:tc>
        <w:tc>
          <w:tcPr>
            <w:tcW w:w="567" w:type="dxa"/>
            <w:tcBorders>
              <w:top w:val="nil"/>
              <w:left w:val="nil"/>
              <w:bottom w:val="nil"/>
              <w:right w:val="nil"/>
            </w:tcBorders>
            <w:shd w:val="clear" w:color="auto" w:fill="auto"/>
            <w:noWrap/>
            <w:vAlign w:val="center"/>
            <w:hideMark/>
          </w:tcPr>
          <w:p w14:paraId="439F024A" w14:textId="77777777" w:rsidR="003305BD" w:rsidRPr="009F1435" w:rsidRDefault="003305BD" w:rsidP="00385846">
            <w:pPr>
              <w:jc w:val="right"/>
              <w:rPr>
                <w:b/>
                <w:bCs/>
                <w:color w:val="000000"/>
                <w:sz w:val="14"/>
              </w:rPr>
            </w:pPr>
          </w:p>
        </w:tc>
        <w:tc>
          <w:tcPr>
            <w:tcW w:w="1134" w:type="dxa"/>
            <w:tcBorders>
              <w:top w:val="nil"/>
              <w:left w:val="single" w:sz="4" w:space="0" w:color="auto"/>
              <w:bottom w:val="nil"/>
              <w:right w:val="nil"/>
            </w:tcBorders>
            <w:shd w:val="clear" w:color="auto" w:fill="auto"/>
            <w:noWrap/>
            <w:vAlign w:val="center"/>
            <w:hideMark/>
          </w:tcPr>
          <w:p w14:paraId="46279B5D" w14:textId="77777777" w:rsidR="003305BD" w:rsidRPr="009F1435" w:rsidRDefault="003305BD" w:rsidP="00385846">
            <w:pPr>
              <w:jc w:val="right"/>
              <w:rPr>
                <w:color w:val="000000"/>
                <w:sz w:val="14"/>
              </w:rPr>
            </w:pPr>
            <w:r w:rsidRPr="009F1435">
              <w:rPr>
                <w:color w:val="000000"/>
                <w:sz w:val="14"/>
              </w:rPr>
              <w:t> </w:t>
            </w:r>
          </w:p>
        </w:tc>
        <w:tc>
          <w:tcPr>
            <w:tcW w:w="1015" w:type="dxa"/>
            <w:tcBorders>
              <w:top w:val="nil"/>
              <w:left w:val="nil"/>
              <w:bottom w:val="nil"/>
              <w:right w:val="single" w:sz="4" w:space="0" w:color="auto"/>
            </w:tcBorders>
            <w:shd w:val="clear" w:color="auto" w:fill="auto"/>
            <w:noWrap/>
            <w:vAlign w:val="center"/>
            <w:hideMark/>
          </w:tcPr>
          <w:p w14:paraId="78800763" w14:textId="77777777" w:rsidR="003305BD" w:rsidRPr="009F1435" w:rsidRDefault="003305BD" w:rsidP="00385846">
            <w:pPr>
              <w:jc w:val="right"/>
              <w:rPr>
                <w:color w:val="000000"/>
                <w:sz w:val="14"/>
              </w:rPr>
            </w:pPr>
            <w:r w:rsidRPr="009F1435">
              <w:rPr>
                <w:color w:val="000000"/>
                <w:sz w:val="14"/>
              </w:rPr>
              <w:t> </w:t>
            </w:r>
          </w:p>
        </w:tc>
        <w:tc>
          <w:tcPr>
            <w:tcW w:w="969" w:type="dxa"/>
            <w:tcBorders>
              <w:top w:val="nil"/>
              <w:left w:val="nil"/>
              <w:bottom w:val="nil"/>
              <w:right w:val="nil"/>
            </w:tcBorders>
            <w:shd w:val="clear" w:color="auto" w:fill="auto"/>
            <w:noWrap/>
            <w:vAlign w:val="bottom"/>
            <w:hideMark/>
          </w:tcPr>
          <w:p w14:paraId="62A8618A" w14:textId="77777777" w:rsidR="003305BD" w:rsidRPr="009F1435" w:rsidRDefault="003305BD" w:rsidP="00385846">
            <w:pPr>
              <w:rPr>
                <w:color w:val="000000"/>
                <w:sz w:val="14"/>
              </w:rPr>
            </w:pPr>
          </w:p>
        </w:tc>
      </w:tr>
      <w:tr w:rsidR="003305BD" w:rsidRPr="009F1435" w14:paraId="2AD67C19" w14:textId="77777777" w:rsidTr="001F44F4">
        <w:trPr>
          <w:trHeight w:val="227"/>
          <w:jc w:val="right"/>
        </w:trPr>
        <w:tc>
          <w:tcPr>
            <w:tcW w:w="2552" w:type="dxa"/>
            <w:tcBorders>
              <w:top w:val="nil"/>
              <w:left w:val="single" w:sz="4" w:space="0" w:color="auto"/>
              <w:bottom w:val="nil"/>
              <w:right w:val="nil"/>
            </w:tcBorders>
            <w:shd w:val="clear" w:color="auto" w:fill="auto"/>
            <w:noWrap/>
            <w:vAlign w:val="center"/>
            <w:hideMark/>
          </w:tcPr>
          <w:p w14:paraId="193AA817" w14:textId="77777777" w:rsidR="003305BD" w:rsidRPr="009F1435" w:rsidRDefault="003305BD" w:rsidP="00385846">
            <w:pPr>
              <w:rPr>
                <w:color w:val="000000"/>
                <w:sz w:val="14"/>
                <w:szCs w:val="20"/>
              </w:rPr>
            </w:pPr>
            <w:r w:rsidRPr="009F1435">
              <w:rPr>
                <w:color w:val="000000"/>
                <w:sz w:val="14"/>
                <w:szCs w:val="20"/>
              </w:rPr>
              <w:t>SOPORTE 3 - ADMINISTRATIVO</w:t>
            </w:r>
          </w:p>
        </w:tc>
        <w:tc>
          <w:tcPr>
            <w:tcW w:w="1134" w:type="dxa"/>
            <w:tcBorders>
              <w:top w:val="nil"/>
              <w:left w:val="single" w:sz="4" w:space="0" w:color="auto"/>
              <w:bottom w:val="nil"/>
              <w:right w:val="single" w:sz="4" w:space="0" w:color="auto"/>
            </w:tcBorders>
            <w:shd w:val="clear" w:color="auto" w:fill="auto"/>
            <w:noWrap/>
            <w:vAlign w:val="center"/>
            <w:hideMark/>
          </w:tcPr>
          <w:p w14:paraId="7A4F4A9A" w14:textId="77777777" w:rsidR="003305BD" w:rsidRPr="009F1435" w:rsidRDefault="003305BD" w:rsidP="00385846">
            <w:pPr>
              <w:jc w:val="right"/>
              <w:rPr>
                <w:color w:val="000000"/>
                <w:sz w:val="14"/>
              </w:rPr>
            </w:pPr>
            <w:r w:rsidRPr="009F1435">
              <w:rPr>
                <w:color w:val="000000"/>
                <w:sz w:val="14"/>
              </w:rPr>
              <w:t xml:space="preserve">3.893.208.333 </w:t>
            </w:r>
          </w:p>
        </w:tc>
        <w:tc>
          <w:tcPr>
            <w:tcW w:w="1134" w:type="dxa"/>
            <w:tcBorders>
              <w:top w:val="nil"/>
              <w:left w:val="nil"/>
              <w:bottom w:val="nil"/>
              <w:right w:val="single" w:sz="4" w:space="0" w:color="auto"/>
            </w:tcBorders>
            <w:shd w:val="clear" w:color="auto" w:fill="auto"/>
            <w:noWrap/>
            <w:vAlign w:val="center"/>
            <w:hideMark/>
          </w:tcPr>
          <w:p w14:paraId="4EEDE464" w14:textId="77777777" w:rsidR="003305BD" w:rsidRPr="009F1435" w:rsidRDefault="003305BD" w:rsidP="00385846">
            <w:pPr>
              <w:jc w:val="right"/>
              <w:rPr>
                <w:color w:val="000000"/>
                <w:sz w:val="14"/>
              </w:rPr>
            </w:pPr>
            <w:r w:rsidRPr="009F1435">
              <w:rPr>
                <w:color w:val="000000"/>
                <w:sz w:val="14"/>
              </w:rPr>
              <w:t> </w:t>
            </w:r>
          </w:p>
        </w:tc>
        <w:tc>
          <w:tcPr>
            <w:tcW w:w="567" w:type="dxa"/>
            <w:tcBorders>
              <w:top w:val="nil"/>
              <w:left w:val="nil"/>
              <w:bottom w:val="nil"/>
              <w:right w:val="nil"/>
            </w:tcBorders>
            <w:shd w:val="clear" w:color="auto" w:fill="auto"/>
            <w:noWrap/>
            <w:vAlign w:val="center"/>
            <w:hideMark/>
          </w:tcPr>
          <w:p w14:paraId="175FA048" w14:textId="77777777" w:rsidR="003305BD" w:rsidRPr="009F1435" w:rsidRDefault="003305BD" w:rsidP="00385846">
            <w:pPr>
              <w:jc w:val="right"/>
              <w:rPr>
                <w:b/>
                <w:bCs/>
                <w:color w:val="000000"/>
                <w:sz w:val="14"/>
              </w:rPr>
            </w:pPr>
          </w:p>
        </w:tc>
        <w:tc>
          <w:tcPr>
            <w:tcW w:w="1134" w:type="dxa"/>
            <w:tcBorders>
              <w:top w:val="nil"/>
              <w:left w:val="single" w:sz="4" w:space="0" w:color="auto"/>
              <w:bottom w:val="nil"/>
              <w:right w:val="nil"/>
            </w:tcBorders>
            <w:shd w:val="clear" w:color="auto" w:fill="auto"/>
            <w:noWrap/>
            <w:vAlign w:val="center"/>
            <w:hideMark/>
          </w:tcPr>
          <w:p w14:paraId="4A94965D" w14:textId="77777777" w:rsidR="003305BD" w:rsidRPr="009F1435" w:rsidRDefault="003305BD" w:rsidP="00385846">
            <w:pPr>
              <w:jc w:val="right"/>
              <w:rPr>
                <w:color w:val="000000"/>
                <w:sz w:val="14"/>
              </w:rPr>
            </w:pPr>
            <w:r w:rsidRPr="009F1435">
              <w:rPr>
                <w:color w:val="000000"/>
                <w:sz w:val="14"/>
              </w:rPr>
              <w:t> </w:t>
            </w:r>
          </w:p>
        </w:tc>
        <w:tc>
          <w:tcPr>
            <w:tcW w:w="1015" w:type="dxa"/>
            <w:tcBorders>
              <w:top w:val="nil"/>
              <w:left w:val="nil"/>
              <w:bottom w:val="nil"/>
              <w:right w:val="single" w:sz="4" w:space="0" w:color="auto"/>
            </w:tcBorders>
            <w:shd w:val="clear" w:color="auto" w:fill="auto"/>
            <w:noWrap/>
            <w:vAlign w:val="center"/>
            <w:hideMark/>
          </w:tcPr>
          <w:p w14:paraId="41594E11" w14:textId="77777777" w:rsidR="003305BD" w:rsidRPr="009F1435" w:rsidRDefault="003305BD" w:rsidP="00385846">
            <w:pPr>
              <w:jc w:val="right"/>
              <w:rPr>
                <w:color w:val="000000"/>
                <w:sz w:val="14"/>
              </w:rPr>
            </w:pPr>
            <w:r w:rsidRPr="009F1435">
              <w:rPr>
                <w:color w:val="000000"/>
                <w:sz w:val="14"/>
              </w:rPr>
              <w:t> </w:t>
            </w:r>
          </w:p>
        </w:tc>
        <w:tc>
          <w:tcPr>
            <w:tcW w:w="969" w:type="dxa"/>
            <w:tcBorders>
              <w:top w:val="nil"/>
              <w:left w:val="nil"/>
              <w:bottom w:val="nil"/>
              <w:right w:val="nil"/>
            </w:tcBorders>
            <w:shd w:val="clear" w:color="auto" w:fill="auto"/>
            <w:noWrap/>
            <w:vAlign w:val="bottom"/>
            <w:hideMark/>
          </w:tcPr>
          <w:p w14:paraId="1A14CBAD" w14:textId="77777777" w:rsidR="003305BD" w:rsidRPr="009F1435" w:rsidRDefault="003305BD" w:rsidP="00385846">
            <w:pPr>
              <w:rPr>
                <w:color w:val="000000"/>
                <w:sz w:val="14"/>
              </w:rPr>
            </w:pPr>
          </w:p>
        </w:tc>
      </w:tr>
      <w:tr w:rsidR="003305BD" w:rsidRPr="009F1435" w14:paraId="71A4E92F" w14:textId="77777777" w:rsidTr="001F44F4">
        <w:trPr>
          <w:trHeight w:val="227"/>
          <w:jc w:val="right"/>
        </w:trPr>
        <w:tc>
          <w:tcPr>
            <w:tcW w:w="2552" w:type="dxa"/>
            <w:tcBorders>
              <w:top w:val="nil"/>
              <w:left w:val="single" w:sz="4" w:space="0" w:color="auto"/>
              <w:bottom w:val="single" w:sz="4" w:space="0" w:color="auto"/>
              <w:right w:val="nil"/>
            </w:tcBorders>
            <w:shd w:val="clear" w:color="auto" w:fill="auto"/>
            <w:noWrap/>
            <w:vAlign w:val="center"/>
            <w:hideMark/>
          </w:tcPr>
          <w:p w14:paraId="0163932B" w14:textId="1E2BB486" w:rsidR="003305BD" w:rsidRPr="009F1435" w:rsidRDefault="003305BD" w:rsidP="00385846">
            <w:pPr>
              <w:rPr>
                <w:color w:val="000000"/>
                <w:sz w:val="14"/>
                <w:szCs w:val="20"/>
              </w:rPr>
            </w:pPr>
            <w:r w:rsidRPr="009F1435">
              <w:rPr>
                <w:color w:val="000000"/>
                <w:sz w:val="14"/>
                <w:szCs w:val="20"/>
              </w:rPr>
              <w:t xml:space="preserve">SOPORTE 4 </w:t>
            </w:r>
            <w:r w:rsidR="003F7C70">
              <w:rPr>
                <w:color w:val="000000"/>
                <w:sz w:val="14"/>
                <w:szCs w:val="20"/>
              </w:rPr>
              <w:t>–</w:t>
            </w:r>
            <w:r w:rsidRPr="009F1435">
              <w:rPr>
                <w:color w:val="000000"/>
                <w:sz w:val="14"/>
                <w:szCs w:val="20"/>
              </w:rPr>
              <w:t xml:space="preserve"> ACADÉMICO</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411820E" w14:textId="77777777" w:rsidR="003305BD" w:rsidRPr="009F1435" w:rsidRDefault="003305BD" w:rsidP="00385846">
            <w:pPr>
              <w:jc w:val="right"/>
              <w:rPr>
                <w:color w:val="000000"/>
                <w:sz w:val="14"/>
              </w:rPr>
            </w:pPr>
            <w:r w:rsidRPr="009F1435">
              <w:rPr>
                <w:color w:val="000000"/>
                <w:sz w:val="14"/>
              </w:rPr>
              <w:t xml:space="preserve">22.567.476.600 </w:t>
            </w:r>
          </w:p>
        </w:tc>
        <w:tc>
          <w:tcPr>
            <w:tcW w:w="1134" w:type="dxa"/>
            <w:tcBorders>
              <w:top w:val="nil"/>
              <w:left w:val="nil"/>
              <w:bottom w:val="single" w:sz="4" w:space="0" w:color="auto"/>
              <w:right w:val="single" w:sz="4" w:space="0" w:color="auto"/>
            </w:tcBorders>
            <w:shd w:val="clear" w:color="auto" w:fill="auto"/>
            <w:noWrap/>
            <w:vAlign w:val="center"/>
            <w:hideMark/>
          </w:tcPr>
          <w:p w14:paraId="0EB73E17" w14:textId="77777777" w:rsidR="003305BD" w:rsidRPr="009F1435" w:rsidRDefault="003305BD" w:rsidP="00385846">
            <w:pPr>
              <w:jc w:val="right"/>
              <w:rPr>
                <w:color w:val="000000"/>
                <w:sz w:val="14"/>
              </w:rPr>
            </w:pPr>
            <w:r w:rsidRPr="009F1435">
              <w:rPr>
                <w:color w:val="000000"/>
                <w:sz w:val="14"/>
              </w:rPr>
              <w:t> </w:t>
            </w:r>
          </w:p>
        </w:tc>
        <w:tc>
          <w:tcPr>
            <w:tcW w:w="567" w:type="dxa"/>
            <w:tcBorders>
              <w:top w:val="nil"/>
              <w:left w:val="nil"/>
              <w:bottom w:val="single" w:sz="4" w:space="0" w:color="auto"/>
              <w:right w:val="nil"/>
            </w:tcBorders>
            <w:shd w:val="clear" w:color="auto" w:fill="auto"/>
            <w:noWrap/>
            <w:vAlign w:val="center"/>
            <w:hideMark/>
          </w:tcPr>
          <w:p w14:paraId="26D59F9F" w14:textId="77777777" w:rsidR="003305BD" w:rsidRPr="009F1435" w:rsidRDefault="003305BD" w:rsidP="00385846">
            <w:pPr>
              <w:jc w:val="right"/>
              <w:rPr>
                <w:b/>
                <w:bCs/>
                <w:color w:val="000000"/>
                <w:sz w:val="14"/>
              </w:rPr>
            </w:pPr>
          </w:p>
        </w:tc>
        <w:tc>
          <w:tcPr>
            <w:tcW w:w="1134" w:type="dxa"/>
            <w:tcBorders>
              <w:top w:val="nil"/>
              <w:left w:val="single" w:sz="4" w:space="0" w:color="auto"/>
              <w:bottom w:val="single" w:sz="4" w:space="0" w:color="auto"/>
              <w:right w:val="nil"/>
            </w:tcBorders>
            <w:shd w:val="clear" w:color="auto" w:fill="auto"/>
            <w:noWrap/>
            <w:vAlign w:val="center"/>
            <w:hideMark/>
          </w:tcPr>
          <w:p w14:paraId="6C595121" w14:textId="77777777" w:rsidR="003305BD" w:rsidRPr="009F1435" w:rsidRDefault="003305BD" w:rsidP="00385846">
            <w:pPr>
              <w:jc w:val="right"/>
              <w:rPr>
                <w:color w:val="000000"/>
                <w:sz w:val="14"/>
              </w:rPr>
            </w:pPr>
            <w:r w:rsidRPr="009F1435">
              <w:rPr>
                <w:color w:val="000000"/>
                <w:sz w:val="14"/>
              </w:rPr>
              <w:t> </w:t>
            </w:r>
          </w:p>
        </w:tc>
        <w:tc>
          <w:tcPr>
            <w:tcW w:w="1015" w:type="dxa"/>
            <w:tcBorders>
              <w:top w:val="nil"/>
              <w:left w:val="nil"/>
              <w:bottom w:val="single" w:sz="4" w:space="0" w:color="auto"/>
              <w:right w:val="single" w:sz="4" w:space="0" w:color="auto"/>
            </w:tcBorders>
            <w:shd w:val="clear" w:color="auto" w:fill="auto"/>
            <w:noWrap/>
            <w:vAlign w:val="center"/>
            <w:hideMark/>
          </w:tcPr>
          <w:p w14:paraId="398A4BEF" w14:textId="77777777" w:rsidR="003305BD" w:rsidRPr="009F1435" w:rsidRDefault="003305BD" w:rsidP="00385846">
            <w:pPr>
              <w:jc w:val="right"/>
              <w:rPr>
                <w:color w:val="000000"/>
                <w:sz w:val="14"/>
              </w:rPr>
            </w:pPr>
            <w:r w:rsidRPr="009F1435">
              <w:rPr>
                <w:color w:val="000000"/>
                <w:sz w:val="14"/>
              </w:rPr>
              <w:t> </w:t>
            </w:r>
          </w:p>
        </w:tc>
        <w:tc>
          <w:tcPr>
            <w:tcW w:w="969" w:type="dxa"/>
            <w:tcBorders>
              <w:top w:val="nil"/>
              <w:left w:val="nil"/>
              <w:bottom w:val="nil"/>
              <w:right w:val="nil"/>
            </w:tcBorders>
            <w:shd w:val="clear" w:color="auto" w:fill="auto"/>
            <w:noWrap/>
            <w:vAlign w:val="bottom"/>
            <w:hideMark/>
          </w:tcPr>
          <w:p w14:paraId="098FEDDD" w14:textId="77777777" w:rsidR="003305BD" w:rsidRPr="009F1435" w:rsidRDefault="003305BD" w:rsidP="00385846">
            <w:pPr>
              <w:rPr>
                <w:color w:val="000000"/>
                <w:sz w:val="14"/>
              </w:rPr>
            </w:pPr>
          </w:p>
        </w:tc>
      </w:tr>
      <w:tr w:rsidR="003305BD" w:rsidRPr="009F1435" w14:paraId="4317D776" w14:textId="77777777" w:rsidTr="001F44F4">
        <w:trPr>
          <w:trHeight w:val="426"/>
          <w:jc w:val="right"/>
        </w:trPr>
        <w:tc>
          <w:tcPr>
            <w:tcW w:w="2552" w:type="dxa"/>
            <w:tcBorders>
              <w:top w:val="nil"/>
              <w:left w:val="single" w:sz="4" w:space="0" w:color="auto"/>
              <w:bottom w:val="single" w:sz="4" w:space="0" w:color="auto"/>
              <w:right w:val="nil"/>
            </w:tcBorders>
            <w:shd w:val="clear" w:color="000000" w:fill="D9D9D9"/>
            <w:noWrap/>
            <w:vAlign w:val="center"/>
            <w:hideMark/>
          </w:tcPr>
          <w:p w14:paraId="0CE0EED7" w14:textId="77777777" w:rsidR="00D216BC" w:rsidRDefault="00D216BC" w:rsidP="00385846">
            <w:pPr>
              <w:rPr>
                <w:b/>
                <w:bCs/>
                <w:color w:val="000000"/>
                <w:sz w:val="14"/>
              </w:rPr>
            </w:pPr>
            <w:r w:rsidRPr="009F1435">
              <w:rPr>
                <w:b/>
                <w:bCs/>
                <w:color w:val="000000"/>
                <w:sz w:val="14"/>
              </w:rPr>
              <w:t>TOTAL,</w:t>
            </w:r>
          </w:p>
          <w:p w14:paraId="5E92AF3A" w14:textId="2C375B10" w:rsidR="003305BD" w:rsidRPr="009F1435" w:rsidRDefault="00D216BC" w:rsidP="00385846">
            <w:pPr>
              <w:rPr>
                <w:b/>
                <w:bCs/>
                <w:color w:val="000000"/>
                <w:sz w:val="14"/>
              </w:rPr>
            </w:pPr>
            <w:r w:rsidRPr="009F1435">
              <w:rPr>
                <w:b/>
                <w:bCs/>
                <w:color w:val="000000"/>
                <w:sz w:val="14"/>
              </w:rPr>
              <w:t>PRE-INVERSIÓN + EJECUCIÓN + DOTACIÓN</w:t>
            </w:r>
          </w:p>
        </w:tc>
        <w:tc>
          <w:tcPr>
            <w:tcW w:w="1134" w:type="dxa"/>
            <w:tcBorders>
              <w:top w:val="nil"/>
              <w:left w:val="single" w:sz="4" w:space="0" w:color="auto"/>
              <w:bottom w:val="single" w:sz="4" w:space="0" w:color="auto"/>
              <w:right w:val="single" w:sz="4" w:space="0" w:color="auto"/>
            </w:tcBorders>
            <w:shd w:val="clear" w:color="000000" w:fill="D9D9D9"/>
            <w:noWrap/>
            <w:vAlign w:val="center"/>
            <w:hideMark/>
          </w:tcPr>
          <w:p w14:paraId="3C59275A" w14:textId="77777777" w:rsidR="003305BD" w:rsidRPr="009F1435" w:rsidRDefault="003305BD" w:rsidP="00385846">
            <w:pPr>
              <w:jc w:val="right"/>
              <w:rPr>
                <w:b/>
                <w:bCs/>
                <w:color w:val="000000"/>
                <w:sz w:val="14"/>
              </w:rPr>
            </w:pPr>
          </w:p>
        </w:tc>
        <w:tc>
          <w:tcPr>
            <w:tcW w:w="1134" w:type="dxa"/>
            <w:tcBorders>
              <w:top w:val="nil"/>
              <w:left w:val="nil"/>
              <w:bottom w:val="single" w:sz="4" w:space="0" w:color="auto"/>
              <w:right w:val="single" w:sz="4" w:space="0" w:color="auto"/>
            </w:tcBorders>
            <w:shd w:val="clear" w:color="000000" w:fill="D9D9D9"/>
            <w:noWrap/>
            <w:vAlign w:val="center"/>
            <w:hideMark/>
          </w:tcPr>
          <w:p w14:paraId="43477505" w14:textId="77777777" w:rsidR="003305BD" w:rsidRPr="009F1435" w:rsidRDefault="003305BD" w:rsidP="00385846">
            <w:pPr>
              <w:jc w:val="right"/>
              <w:rPr>
                <w:b/>
                <w:bCs/>
                <w:color w:val="000000"/>
                <w:sz w:val="14"/>
              </w:rPr>
            </w:pPr>
            <w:r w:rsidRPr="009F1435">
              <w:rPr>
                <w:b/>
                <w:bCs/>
                <w:color w:val="000000"/>
                <w:sz w:val="14"/>
              </w:rPr>
              <w:t xml:space="preserve">231.633.249.040 </w:t>
            </w:r>
          </w:p>
        </w:tc>
        <w:tc>
          <w:tcPr>
            <w:tcW w:w="567" w:type="dxa"/>
            <w:tcBorders>
              <w:top w:val="nil"/>
              <w:left w:val="nil"/>
              <w:bottom w:val="single" w:sz="4" w:space="0" w:color="auto"/>
              <w:right w:val="nil"/>
            </w:tcBorders>
            <w:shd w:val="clear" w:color="auto" w:fill="auto"/>
            <w:noWrap/>
            <w:vAlign w:val="center"/>
            <w:hideMark/>
          </w:tcPr>
          <w:p w14:paraId="27612C0A" w14:textId="77777777" w:rsidR="003305BD" w:rsidRPr="009F1435" w:rsidRDefault="003305BD" w:rsidP="00385846">
            <w:pPr>
              <w:jc w:val="right"/>
              <w:rPr>
                <w:b/>
                <w:bCs/>
                <w:color w:val="000000"/>
                <w:sz w:val="14"/>
              </w:rPr>
            </w:pPr>
          </w:p>
        </w:tc>
        <w:tc>
          <w:tcPr>
            <w:tcW w:w="1134" w:type="dxa"/>
            <w:tcBorders>
              <w:top w:val="nil"/>
              <w:left w:val="single" w:sz="4" w:space="0" w:color="auto"/>
              <w:bottom w:val="single" w:sz="4" w:space="0" w:color="auto"/>
              <w:right w:val="single" w:sz="4" w:space="0" w:color="auto"/>
            </w:tcBorders>
            <w:shd w:val="clear" w:color="000000" w:fill="D9D9D9"/>
            <w:noWrap/>
            <w:vAlign w:val="center"/>
            <w:hideMark/>
          </w:tcPr>
          <w:p w14:paraId="55E352B3" w14:textId="77777777" w:rsidR="003305BD" w:rsidRPr="009F1435" w:rsidRDefault="003305BD" w:rsidP="00385846">
            <w:pPr>
              <w:jc w:val="right"/>
              <w:rPr>
                <w:b/>
                <w:bCs/>
                <w:color w:val="000000"/>
                <w:sz w:val="14"/>
              </w:rPr>
            </w:pPr>
            <w:r w:rsidRPr="009F1435">
              <w:rPr>
                <w:b/>
                <w:bCs/>
                <w:color w:val="000000"/>
                <w:sz w:val="14"/>
              </w:rPr>
              <w:t xml:space="preserve">220.000.000.000 </w:t>
            </w:r>
          </w:p>
        </w:tc>
        <w:tc>
          <w:tcPr>
            <w:tcW w:w="1015" w:type="dxa"/>
            <w:tcBorders>
              <w:top w:val="nil"/>
              <w:left w:val="nil"/>
              <w:bottom w:val="single" w:sz="4" w:space="0" w:color="auto"/>
              <w:right w:val="single" w:sz="4" w:space="0" w:color="auto"/>
            </w:tcBorders>
            <w:shd w:val="clear" w:color="000000" w:fill="D9D9D9"/>
            <w:noWrap/>
            <w:vAlign w:val="center"/>
            <w:hideMark/>
          </w:tcPr>
          <w:p w14:paraId="0CE8796B" w14:textId="77777777" w:rsidR="003305BD" w:rsidRPr="009F1435" w:rsidRDefault="003305BD" w:rsidP="00385846">
            <w:pPr>
              <w:jc w:val="right"/>
              <w:rPr>
                <w:b/>
                <w:bCs/>
                <w:color w:val="000000"/>
                <w:sz w:val="14"/>
              </w:rPr>
            </w:pPr>
            <w:r w:rsidRPr="009F1435">
              <w:rPr>
                <w:b/>
                <w:bCs/>
                <w:color w:val="000000"/>
                <w:sz w:val="14"/>
              </w:rPr>
              <w:t xml:space="preserve">11.633.249.039 </w:t>
            </w:r>
          </w:p>
        </w:tc>
        <w:tc>
          <w:tcPr>
            <w:tcW w:w="969" w:type="dxa"/>
            <w:tcBorders>
              <w:top w:val="nil"/>
              <w:left w:val="nil"/>
              <w:bottom w:val="nil"/>
              <w:right w:val="nil"/>
            </w:tcBorders>
            <w:shd w:val="clear" w:color="auto" w:fill="auto"/>
            <w:noWrap/>
            <w:vAlign w:val="bottom"/>
            <w:hideMark/>
          </w:tcPr>
          <w:p w14:paraId="4D86AFEC" w14:textId="77777777" w:rsidR="003305BD" w:rsidRPr="009F1435" w:rsidRDefault="003305BD" w:rsidP="00385846">
            <w:pPr>
              <w:rPr>
                <w:b/>
                <w:bCs/>
                <w:color w:val="000000"/>
                <w:sz w:val="14"/>
              </w:rPr>
            </w:pPr>
          </w:p>
        </w:tc>
      </w:tr>
    </w:tbl>
    <w:p w14:paraId="04B1A4D6" w14:textId="77777777" w:rsidR="003305BD" w:rsidRDefault="003305BD" w:rsidP="003305BD">
      <w:pPr>
        <w:rPr>
          <w:sz w:val="22"/>
        </w:rPr>
      </w:pPr>
    </w:p>
    <w:p w14:paraId="2E0D467D" w14:textId="26218E17" w:rsidR="003305BD" w:rsidRDefault="00CF0FB0" w:rsidP="003305BD">
      <w:pPr>
        <w:jc w:val="both"/>
        <w:rPr>
          <w:sz w:val="22"/>
        </w:rPr>
      </w:pPr>
      <w:r>
        <w:rPr>
          <w:sz w:val="22"/>
        </w:rPr>
        <w:t>Este</w:t>
      </w:r>
      <w:r w:rsidR="003305BD" w:rsidRPr="00DE7C3B">
        <w:rPr>
          <w:sz w:val="22"/>
        </w:rPr>
        <w:t xml:space="preserve"> documento </w:t>
      </w:r>
      <w:r>
        <w:rPr>
          <w:sz w:val="22"/>
        </w:rPr>
        <w:t xml:space="preserve">menciona en el </w:t>
      </w:r>
      <w:r w:rsidR="003305BD" w:rsidRPr="00DE7C3B">
        <w:rPr>
          <w:i/>
          <w:sz w:val="20"/>
        </w:rPr>
        <w:t>numeral 11.2, pag.51</w:t>
      </w:r>
      <w:r w:rsidR="003305BD">
        <w:rPr>
          <w:sz w:val="22"/>
        </w:rPr>
        <w:t xml:space="preserve"> como fuentes de f</w:t>
      </w:r>
      <w:r w:rsidR="003305BD" w:rsidRPr="00DE7C3B">
        <w:rPr>
          <w:sz w:val="22"/>
        </w:rPr>
        <w:t>inanciación relacionadas</w:t>
      </w:r>
      <w:r w:rsidR="003305BD">
        <w:rPr>
          <w:sz w:val="22"/>
        </w:rPr>
        <w:t xml:space="preserve">, recursos de crédito por $220.000 millones de pesos y </w:t>
      </w:r>
      <w:r w:rsidR="002C3347">
        <w:rPr>
          <w:sz w:val="22"/>
        </w:rPr>
        <w:t>$</w:t>
      </w:r>
      <w:r w:rsidR="003305BD">
        <w:rPr>
          <w:sz w:val="22"/>
        </w:rPr>
        <w:t>11.633 vía recursos propios.</w:t>
      </w:r>
    </w:p>
    <w:p w14:paraId="4E55EB59" w14:textId="77777777" w:rsidR="003305BD" w:rsidRDefault="003305BD" w:rsidP="003305BD">
      <w:pPr>
        <w:jc w:val="both"/>
        <w:rPr>
          <w:color w:val="FF0000"/>
          <w:sz w:val="22"/>
          <w:szCs w:val="22"/>
        </w:rPr>
      </w:pPr>
    </w:p>
    <w:p w14:paraId="4B6CEC76" w14:textId="77777777" w:rsidR="008F324F" w:rsidRDefault="003305BD" w:rsidP="00646FE9">
      <w:pPr>
        <w:spacing w:line="276" w:lineRule="auto"/>
        <w:jc w:val="both"/>
        <w:rPr>
          <w:sz w:val="22"/>
          <w:szCs w:val="22"/>
        </w:rPr>
      </w:pPr>
      <w:r w:rsidRPr="009F1435">
        <w:rPr>
          <w:sz w:val="22"/>
          <w:szCs w:val="22"/>
        </w:rPr>
        <w:t>El documento del D</w:t>
      </w:r>
      <w:r w:rsidR="00CF0FB0">
        <w:rPr>
          <w:sz w:val="22"/>
          <w:szCs w:val="22"/>
        </w:rPr>
        <w:t xml:space="preserve">epartamento </w:t>
      </w:r>
      <w:r w:rsidRPr="009F1435">
        <w:rPr>
          <w:sz w:val="22"/>
          <w:szCs w:val="22"/>
        </w:rPr>
        <w:t>N</w:t>
      </w:r>
      <w:r w:rsidR="00CF0FB0">
        <w:rPr>
          <w:sz w:val="22"/>
          <w:szCs w:val="22"/>
        </w:rPr>
        <w:t xml:space="preserve">acional de </w:t>
      </w:r>
      <w:r w:rsidRPr="009F1435">
        <w:rPr>
          <w:sz w:val="22"/>
          <w:szCs w:val="22"/>
        </w:rPr>
        <w:t>P</w:t>
      </w:r>
      <w:r w:rsidR="00CF0FB0">
        <w:rPr>
          <w:sz w:val="22"/>
          <w:szCs w:val="22"/>
        </w:rPr>
        <w:t>laneación</w:t>
      </w:r>
      <w:r w:rsidRPr="009F1435">
        <w:rPr>
          <w:sz w:val="22"/>
          <w:szCs w:val="22"/>
        </w:rPr>
        <w:t xml:space="preserve"> del 9 de mayo (20184380298581), mediante el cual se da concepto favorable para llevar a cabo una operación de crédito interno por un monto de $220.000 millones para financiar el proyecto de la Salud, menciona lo siguiente en relación con el valor del proyecto del complejo: </w:t>
      </w:r>
    </w:p>
    <w:p w14:paraId="7796C5EC" w14:textId="77777777" w:rsidR="008F324F" w:rsidRDefault="008F324F" w:rsidP="00646FE9">
      <w:pPr>
        <w:spacing w:line="276" w:lineRule="auto"/>
        <w:jc w:val="both"/>
        <w:rPr>
          <w:sz w:val="20"/>
          <w:szCs w:val="20"/>
        </w:rPr>
      </w:pPr>
    </w:p>
    <w:p w14:paraId="5132892D" w14:textId="0E128576" w:rsidR="003305BD" w:rsidRPr="001F44F4" w:rsidRDefault="003305BD" w:rsidP="001F44F4">
      <w:pPr>
        <w:spacing w:line="276" w:lineRule="auto"/>
        <w:ind w:left="284" w:right="333"/>
        <w:jc w:val="both"/>
        <w:rPr>
          <w:i/>
          <w:sz w:val="18"/>
          <w:szCs w:val="20"/>
        </w:rPr>
      </w:pPr>
      <w:r w:rsidRPr="001F44F4">
        <w:rPr>
          <w:sz w:val="18"/>
          <w:szCs w:val="20"/>
        </w:rPr>
        <w:t>(..) “</w:t>
      </w:r>
      <w:r w:rsidRPr="001F44F4">
        <w:rPr>
          <w:i/>
          <w:sz w:val="18"/>
          <w:szCs w:val="20"/>
        </w:rPr>
        <w:t xml:space="preserve">El costo total del proyecto es de $231.635.249.039, monto que será financiado a través de dos fuentes”. Por una parte, está el crédito comercial </w:t>
      </w:r>
      <w:r w:rsidR="00CF5523" w:rsidRPr="001F44F4">
        <w:rPr>
          <w:i/>
          <w:sz w:val="18"/>
          <w:szCs w:val="20"/>
        </w:rPr>
        <w:t>mencionado anteriormente por $22</w:t>
      </w:r>
      <w:r w:rsidRPr="001F44F4">
        <w:rPr>
          <w:i/>
          <w:sz w:val="18"/>
          <w:szCs w:val="20"/>
        </w:rPr>
        <w:t>0.0</w:t>
      </w:r>
      <w:r w:rsidR="00CF5523" w:rsidRPr="001F44F4">
        <w:rPr>
          <w:i/>
          <w:sz w:val="18"/>
          <w:szCs w:val="20"/>
        </w:rPr>
        <w:t>00.000.000. La cantidad restante ($11.635.249.039)</w:t>
      </w:r>
      <w:r w:rsidR="00CF0FB0" w:rsidRPr="001F44F4">
        <w:rPr>
          <w:i/>
          <w:sz w:val="18"/>
          <w:szCs w:val="20"/>
        </w:rPr>
        <w:t xml:space="preserve"> provendrá de recursos propios de la Universidad, de los cuales $3.539 millones corresponden al valor del lote en el cual se llevará a cabo el proyecto, el cual es propiedad de la Universidad, y </w:t>
      </w:r>
      <w:r w:rsidR="00CF0FB0" w:rsidRPr="001F44F4">
        <w:rPr>
          <w:b/>
          <w:i/>
          <w:sz w:val="18"/>
          <w:szCs w:val="20"/>
        </w:rPr>
        <w:t>el resto se pagará del recaudo de la estampilla</w:t>
      </w:r>
      <w:r w:rsidR="00CF0FB0" w:rsidRPr="001F44F4">
        <w:rPr>
          <w:i/>
          <w:sz w:val="18"/>
          <w:szCs w:val="20"/>
        </w:rPr>
        <w:t xml:space="preserve"> “Universidad de Antioquia de Cara al Tercer Siglo de Labor”, creada por medio de la Ley 122 de 1884. Sobre el crédito, la Universidad informa que </w:t>
      </w:r>
      <w:r w:rsidR="00CF0FB0" w:rsidRPr="001F44F4">
        <w:rPr>
          <w:b/>
          <w:i/>
          <w:sz w:val="18"/>
          <w:szCs w:val="20"/>
        </w:rPr>
        <w:t>podrá cumplir a cabalidad</w:t>
      </w:r>
      <w:r w:rsidR="00CF0FB0" w:rsidRPr="001F44F4">
        <w:rPr>
          <w:i/>
          <w:sz w:val="18"/>
          <w:szCs w:val="20"/>
        </w:rPr>
        <w:t xml:space="preserve"> con el pago del servicio anual de la deuda utilizando recursos provenientes de la estampilla antes mencionada durante el periodo </w:t>
      </w:r>
      <w:r w:rsidR="00CF0FB0" w:rsidRPr="001F44F4">
        <w:rPr>
          <w:b/>
          <w:i/>
          <w:sz w:val="18"/>
          <w:szCs w:val="20"/>
        </w:rPr>
        <w:t>2018-2032</w:t>
      </w:r>
      <w:r w:rsidR="00CF0FB0" w:rsidRPr="001F44F4">
        <w:rPr>
          <w:i/>
          <w:sz w:val="18"/>
          <w:szCs w:val="20"/>
        </w:rPr>
        <w:t xml:space="preserve">. Esto se encuentra respaldado por una calificación de riesgo según la cual la expectativa de riesgo de incumplimiento es muy baja en relación con todos los demás emisores u obligaciones en el país…” </w:t>
      </w:r>
      <w:r w:rsidR="00CF0FB0" w:rsidRPr="001F44F4">
        <w:rPr>
          <w:sz w:val="18"/>
          <w:szCs w:val="20"/>
        </w:rPr>
        <w:t>Resaltado fuera de texto.</w:t>
      </w:r>
    </w:p>
    <w:p w14:paraId="5BBDE1B5" w14:textId="061A2DE5" w:rsidR="00CF0FB0" w:rsidRDefault="00CF0FB0" w:rsidP="003305BD">
      <w:pPr>
        <w:jc w:val="both"/>
        <w:rPr>
          <w:i/>
          <w:sz w:val="22"/>
          <w:szCs w:val="22"/>
        </w:rPr>
      </w:pPr>
    </w:p>
    <w:p w14:paraId="220D5B2B" w14:textId="7D01D52C" w:rsidR="003305BD" w:rsidRDefault="00A21405" w:rsidP="001F44F4">
      <w:pPr>
        <w:spacing w:line="259" w:lineRule="auto"/>
        <w:rPr>
          <w:sz w:val="22"/>
        </w:rPr>
      </w:pPr>
      <w:r>
        <w:rPr>
          <w:sz w:val="22"/>
        </w:rPr>
        <w:t xml:space="preserve">Por </w:t>
      </w:r>
      <w:r w:rsidR="003305BD">
        <w:rPr>
          <w:sz w:val="22"/>
        </w:rPr>
        <w:t>otro lado</w:t>
      </w:r>
      <w:r>
        <w:rPr>
          <w:sz w:val="22"/>
        </w:rPr>
        <w:t>,</w:t>
      </w:r>
      <w:r w:rsidR="003305BD">
        <w:rPr>
          <w:sz w:val="22"/>
        </w:rPr>
        <w:t xml:space="preserve"> el documento Proyecto Complejo de la Salud de enero de 2018 (pág. 24) ilustra el presupuesto de inversión del proyecto por un total de </w:t>
      </w:r>
      <w:r w:rsidR="003305BD" w:rsidRPr="00452075">
        <w:rPr>
          <w:b/>
          <w:sz w:val="22"/>
        </w:rPr>
        <w:t xml:space="preserve">$276.262 </w:t>
      </w:r>
      <w:r w:rsidR="003305BD">
        <w:rPr>
          <w:sz w:val="22"/>
        </w:rPr>
        <w:t>millones. Y menciona como</w:t>
      </w:r>
      <w:r>
        <w:rPr>
          <w:sz w:val="22"/>
        </w:rPr>
        <w:t xml:space="preserve"> fuente de</w:t>
      </w:r>
      <w:r w:rsidR="003305BD">
        <w:rPr>
          <w:sz w:val="22"/>
        </w:rPr>
        <w:t xml:space="preserve"> financiación:</w:t>
      </w:r>
    </w:p>
    <w:p w14:paraId="33BA240B" w14:textId="77777777" w:rsidR="005576A6" w:rsidRDefault="005576A6" w:rsidP="003305BD">
      <w:pPr>
        <w:ind w:left="284" w:right="333"/>
        <w:jc w:val="both"/>
        <w:rPr>
          <w:sz w:val="21"/>
          <w:szCs w:val="21"/>
        </w:rPr>
      </w:pPr>
    </w:p>
    <w:p w14:paraId="756F573C" w14:textId="4D684209" w:rsidR="003305BD" w:rsidRPr="001F44F4" w:rsidRDefault="003305BD" w:rsidP="003305BD">
      <w:pPr>
        <w:ind w:left="284" w:right="333"/>
        <w:jc w:val="both"/>
        <w:rPr>
          <w:sz w:val="18"/>
          <w:szCs w:val="21"/>
        </w:rPr>
      </w:pPr>
      <w:r w:rsidRPr="001F44F4">
        <w:rPr>
          <w:sz w:val="18"/>
          <w:szCs w:val="21"/>
        </w:rPr>
        <w:t>“</w:t>
      </w:r>
      <w:r w:rsidR="002C3347" w:rsidRPr="001F44F4">
        <w:rPr>
          <w:i/>
          <w:sz w:val="18"/>
          <w:szCs w:val="21"/>
        </w:rPr>
        <w:t>Para l</w:t>
      </w:r>
      <w:r w:rsidRPr="001F44F4">
        <w:rPr>
          <w:i/>
          <w:sz w:val="18"/>
          <w:szCs w:val="21"/>
        </w:rPr>
        <w:t>a financiación del Proyecto se cuenta con un cupo de crédito de FINDETER de 220.000.000 millones de pesos, apoyado en la calificación de riesgo que actualmente posee la Universidad, que estaría apalancado por recursos de estampilla”</w:t>
      </w:r>
      <w:r w:rsidRPr="001F44F4">
        <w:rPr>
          <w:sz w:val="18"/>
          <w:szCs w:val="21"/>
        </w:rPr>
        <w:t>.</w:t>
      </w:r>
    </w:p>
    <w:p w14:paraId="3D5A6442" w14:textId="77777777" w:rsidR="00006530" w:rsidRDefault="00006530" w:rsidP="003305BD">
      <w:pPr>
        <w:jc w:val="both"/>
        <w:rPr>
          <w:sz w:val="22"/>
          <w:szCs w:val="22"/>
        </w:rPr>
      </w:pPr>
    </w:p>
    <w:p w14:paraId="4B72981A" w14:textId="44540565" w:rsidR="003305BD" w:rsidRDefault="003305BD" w:rsidP="00646FE9">
      <w:pPr>
        <w:spacing w:line="276" w:lineRule="auto"/>
        <w:jc w:val="both"/>
        <w:rPr>
          <w:sz w:val="22"/>
          <w:szCs w:val="22"/>
        </w:rPr>
      </w:pPr>
      <w:r w:rsidRPr="00643ED6">
        <w:rPr>
          <w:sz w:val="22"/>
          <w:szCs w:val="22"/>
        </w:rPr>
        <w:t xml:space="preserve">Respecto al valor total del proyecto, la Oficina de Auditoria consultó directamente con la Directora General del Proyecto, quien </w:t>
      </w:r>
      <w:r>
        <w:rPr>
          <w:sz w:val="22"/>
          <w:szCs w:val="22"/>
        </w:rPr>
        <w:t xml:space="preserve">manifestó desconocer el soporte del valor de los $231.635 mil millones. Informó que durante </w:t>
      </w:r>
      <w:r w:rsidR="00D616F3">
        <w:rPr>
          <w:sz w:val="22"/>
          <w:szCs w:val="22"/>
        </w:rPr>
        <w:t>su gestión</w:t>
      </w:r>
      <w:r>
        <w:rPr>
          <w:sz w:val="22"/>
          <w:szCs w:val="22"/>
        </w:rPr>
        <w:t xml:space="preserve"> en el proyecto se manejan dos valores, un valor de $260.391</w:t>
      </w:r>
      <w:r w:rsidRPr="00635C3F">
        <w:rPr>
          <w:sz w:val="22"/>
          <w:szCs w:val="22"/>
        </w:rPr>
        <w:t xml:space="preserve"> </w:t>
      </w:r>
      <w:r>
        <w:rPr>
          <w:sz w:val="22"/>
          <w:szCs w:val="22"/>
        </w:rPr>
        <w:t xml:space="preserve">millones </w:t>
      </w:r>
      <w:r w:rsidRPr="00635C3F">
        <w:rPr>
          <w:sz w:val="22"/>
          <w:szCs w:val="22"/>
        </w:rPr>
        <w:t xml:space="preserve">presupuestados para el </w:t>
      </w:r>
      <w:r w:rsidR="003A7278" w:rsidRPr="003A7278">
        <w:rPr>
          <w:sz w:val="22"/>
          <w:szCs w:val="22"/>
        </w:rPr>
        <w:t>c</w:t>
      </w:r>
      <w:r w:rsidR="002C1713" w:rsidRPr="003A7278">
        <w:rPr>
          <w:sz w:val="22"/>
          <w:szCs w:val="22"/>
        </w:rPr>
        <w:t>omponente</w:t>
      </w:r>
      <w:r w:rsidRPr="00646FE9">
        <w:rPr>
          <w:color w:val="FF0000"/>
          <w:sz w:val="22"/>
          <w:szCs w:val="22"/>
        </w:rPr>
        <w:t xml:space="preserve"> </w:t>
      </w:r>
      <w:r w:rsidRPr="00635C3F">
        <w:rPr>
          <w:sz w:val="22"/>
          <w:szCs w:val="22"/>
        </w:rPr>
        <w:t>de Infraestructura</w:t>
      </w:r>
      <w:r>
        <w:rPr>
          <w:sz w:val="22"/>
          <w:szCs w:val="22"/>
        </w:rPr>
        <w:t xml:space="preserve"> y e</w:t>
      </w:r>
      <w:r w:rsidRPr="00635C3F">
        <w:rPr>
          <w:sz w:val="22"/>
          <w:szCs w:val="22"/>
        </w:rPr>
        <w:t xml:space="preserve">l </w:t>
      </w:r>
      <w:r>
        <w:rPr>
          <w:sz w:val="22"/>
          <w:szCs w:val="22"/>
        </w:rPr>
        <w:t>total d</w:t>
      </w:r>
      <w:r w:rsidRPr="00635C3F">
        <w:rPr>
          <w:sz w:val="22"/>
          <w:szCs w:val="22"/>
        </w:rPr>
        <w:t xml:space="preserve">e </w:t>
      </w:r>
      <w:r>
        <w:rPr>
          <w:sz w:val="22"/>
          <w:szCs w:val="22"/>
        </w:rPr>
        <w:t xml:space="preserve">las </w:t>
      </w:r>
      <w:r w:rsidRPr="00635C3F">
        <w:rPr>
          <w:sz w:val="22"/>
          <w:szCs w:val="22"/>
        </w:rPr>
        <w:t xml:space="preserve">inversiones anuales para el proyecto </w:t>
      </w:r>
      <w:r>
        <w:rPr>
          <w:sz w:val="22"/>
          <w:szCs w:val="22"/>
        </w:rPr>
        <w:t xml:space="preserve">incluyendo </w:t>
      </w:r>
      <w:r w:rsidR="002C1713">
        <w:rPr>
          <w:sz w:val="22"/>
          <w:szCs w:val="22"/>
        </w:rPr>
        <w:t xml:space="preserve">la </w:t>
      </w:r>
      <w:r>
        <w:rPr>
          <w:sz w:val="22"/>
          <w:szCs w:val="22"/>
        </w:rPr>
        <w:t xml:space="preserve">dotación básica </w:t>
      </w:r>
      <w:r w:rsidR="002C1713">
        <w:rPr>
          <w:sz w:val="22"/>
          <w:szCs w:val="22"/>
        </w:rPr>
        <w:t>por</w:t>
      </w:r>
      <w:r>
        <w:rPr>
          <w:sz w:val="22"/>
          <w:szCs w:val="22"/>
        </w:rPr>
        <w:t xml:space="preserve"> $</w:t>
      </w:r>
      <w:r w:rsidRPr="00635C3F">
        <w:rPr>
          <w:sz w:val="22"/>
          <w:szCs w:val="22"/>
        </w:rPr>
        <w:t>276.262</w:t>
      </w:r>
      <w:r>
        <w:rPr>
          <w:sz w:val="22"/>
          <w:szCs w:val="22"/>
        </w:rPr>
        <w:t xml:space="preserve"> millones de pesos.</w:t>
      </w:r>
    </w:p>
    <w:p w14:paraId="0641E84D" w14:textId="77777777" w:rsidR="003305BD" w:rsidRDefault="003305BD" w:rsidP="00646FE9">
      <w:pPr>
        <w:spacing w:line="276" w:lineRule="auto"/>
        <w:jc w:val="both"/>
        <w:rPr>
          <w:sz w:val="22"/>
          <w:szCs w:val="22"/>
        </w:rPr>
      </w:pPr>
    </w:p>
    <w:p w14:paraId="2979970F" w14:textId="4CFD2021" w:rsidR="003305BD" w:rsidRDefault="003305BD" w:rsidP="00646FE9">
      <w:pPr>
        <w:spacing w:line="276" w:lineRule="auto"/>
        <w:jc w:val="both"/>
        <w:rPr>
          <w:sz w:val="22"/>
          <w:szCs w:val="22"/>
        </w:rPr>
      </w:pPr>
      <w:r>
        <w:rPr>
          <w:sz w:val="22"/>
          <w:szCs w:val="22"/>
        </w:rPr>
        <w:t xml:space="preserve">Adicionalmente, debe tenerse en cuenta que el valor de los $276.262 millones de pesos no incluye la proyección de costos de funcionamiento realizada para el Proyecto, información que según la </w:t>
      </w:r>
      <w:r w:rsidR="00A21405">
        <w:rPr>
          <w:sz w:val="22"/>
          <w:szCs w:val="22"/>
        </w:rPr>
        <w:t>D</w:t>
      </w:r>
      <w:r w:rsidR="00633EA3">
        <w:rPr>
          <w:sz w:val="22"/>
          <w:szCs w:val="22"/>
        </w:rPr>
        <w:t>irectora</w:t>
      </w:r>
      <w:r>
        <w:rPr>
          <w:sz w:val="22"/>
          <w:szCs w:val="22"/>
        </w:rPr>
        <w:t xml:space="preserve"> del proyecto no le ha sido suministrada. </w:t>
      </w:r>
      <w:r w:rsidR="0038620A">
        <w:rPr>
          <w:sz w:val="22"/>
          <w:szCs w:val="22"/>
        </w:rPr>
        <w:t xml:space="preserve"> </w:t>
      </w:r>
    </w:p>
    <w:p w14:paraId="38A4E00F" w14:textId="2E91CA31" w:rsidR="003305BD" w:rsidRDefault="003305BD" w:rsidP="00646FE9">
      <w:pPr>
        <w:spacing w:line="276" w:lineRule="auto"/>
        <w:jc w:val="both"/>
        <w:rPr>
          <w:sz w:val="22"/>
          <w:szCs w:val="22"/>
        </w:rPr>
      </w:pPr>
    </w:p>
    <w:p w14:paraId="28346F79" w14:textId="77777777" w:rsidR="003305BD" w:rsidRDefault="003305BD" w:rsidP="00646FE9">
      <w:pPr>
        <w:spacing w:line="276" w:lineRule="auto"/>
        <w:jc w:val="both"/>
        <w:rPr>
          <w:sz w:val="22"/>
          <w:szCs w:val="22"/>
        </w:rPr>
      </w:pPr>
      <w:r>
        <w:rPr>
          <w:sz w:val="22"/>
          <w:szCs w:val="22"/>
        </w:rPr>
        <w:t>De acuerdo con el documento suministrado a la Oficina de Auditoria Institucional “</w:t>
      </w:r>
      <w:r w:rsidRPr="00431943">
        <w:rPr>
          <w:i/>
          <w:sz w:val="22"/>
          <w:szCs w:val="22"/>
        </w:rPr>
        <w:t>Informe proyección costos de funcionamiento bajo el esquema de operación actual Complejo de la Salud</w:t>
      </w:r>
      <w:r>
        <w:rPr>
          <w:sz w:val="22"/>
          <w:szCs w:val="22"/>
        </w:rPr>
        <w:t xml:space="preserve">” elaborado por la Gestión de Costos de la Vicerrectoría Administrativa en abril de 2018 y proyectado para los próximos 21 años con las 6 dependencias que conforman el proyecto, el costo por año en los componentes de pregrado, posgrado, investigación y extensión sería en promedio de $180.000 mil millones por año. </w:t>
      </w:r>
    </w:p>
    <w:p w14:paraId="7EA54E7E" w14:textId="77777777" w:rsidR="003305BD" w:rsidRDefault="003305BD" w:rsidP="00646FE9">
      <w:pPr>
        <w:spacing w:line="276" w:lineRule="auto"/>
        <w:jc w:val="both"/>
        <w:rPr>
          <w:sz w:val="22"/>
          <w:szCs w:val="22"/>
        </w:rPr>
      </w:pPr>
    </w:p>
    <w:p w14:paraId="7ACD8A8C" w14:textId="77777777" w:rsidR="002C1713" w:rsidRDefault="003305BD" w:rsidP="00646FE9">
      <w:pPr>
        <w:spacing w:line="276" w:lineRule="auto"/>
        <w:jc w:val="both"/>
        <w:rPr>
          <w:sz w:val="22"/>
          <w:szCs w:val="22"/>
        </w:rPr>
      </w:pPr>
      <w:r>
        <w:rPr>
          <w:sz w:val="22"/>
          <w:szCs w:val="22"/>
        </w:rPr>
        <w:t>Finalmente, el documento menciona en una de sus conclusiones</w:t>
      </w:r>
      <w:r w:rsidR="002C1713">
        <w:rPr>
          <w:sz w:val="22"/>
          <w:szCs w:val="22"/>
        </w:rPr>
        <w:t>:</w:t>
      </w:r>
    </w:p>
    <w:p w14:paraId="50D052E9" w14:textId="77777777" w:rsidR="002C1713" w:rsidRDefault="002C1713" w:rsidP="00646FE9">
      <w:pPr>
        <w:spacing w:line="276" w:lineRule="auto"/>
        <w:jc w:val="both"/>
        <w:rPr>
          <w:sz w:val="22"/>
          <w:szCs w:val="22"/>
        </w:rPr>
      </w:pPr>
    </w:p>
    <w:p w14:paraId="26C13A4D" w14:textId="34CFB167" w:rsidR="003305BD" w:rsidRPr="001F44F4" w:rsidRDefault="003305BD" w:rsidP="001F44F4">
      <w:pPr>
        <w:ind w:left="284" w:right="333"/>
        <w:jc w:val="both"/>
        <w:rPr>
          <w:sz w:val="18"/>
          <w:szCs w:val="18"/>
        </w:rPr>
      </w:pPr>
      <w:r w:rsidRPr="001F44F4">
        <w:rPr>
          <w:sz w:val="18"/>
          <w:szCs w:val="18"/>
        </w:rPr>
        <w:t>“</w:t>
      </w:r>
      <w:r w:rsidRPr="001F44F4">
        <w:rPr>
          <w:i/>
          <w:sz w:val="18"/>
          <w:szCs w:val="18"/>
        </w:rPr>
        <w:t>Es de aclarar que este costeo parte del supuesto que las unidades académicas funcionarán bajo el esquema de operación actual, situación que no es real, por lo que es necesario una vez se tenga claridad sobre el esquema de operación revisar el impacto de éste sobre los costos de funcionamiento”</w:t>
      </w:r>
      <w:r w:rsidRPr="001F44F4">
        <w:rPr>
          <w:sz w:val="18"/>
          <w:szCs w:val="18"/>
        </w:rPr>
        <w:t>.</w:t>
      </w:r>
    </w:p>
    <w:p w14:paraId="5DE65FA2" w14:textId="25A419AA" w:rsidR="003305BD" w:rsidRDefault="003305BD" w:rsidP="00646FE9">
      <w:pPr>
        <w:spacing w:line="276" w:lineRule="auto"/>
        <w:jc w:val="both"/>
        <w:rPr>
          <w:sz w:val="22"/>
          <w:szCs w:val="22"/>
        </w:rPr>
      </w:pPr>
    </w:p>
    <w:p w14:paraId="6E33EA7C" w14:textId="77777777" w:rsidR="00F719ED" w:rsidRDefault="00F719ED" w:rsidP="003305BD">
      <w:pPr>
        <w:jc w:val="both"/>
        <w:rPr>
          <w:sz w:val="22"/>
          <w:szCs w:val="22"/>
        </w:rPr>
      </w:pPr>
    </w:p>
    <w:p w14:paraId="29CBFB49" w14:textId="3A3072DB" w:rsidR="007D6FA7" w:rsidRDefault="002C3347" w:rsidP="007D6FA7">
      <w:pPr>
        <w:rPr>
          <w:sz w:val="22"/>
          <w:szCs w:val="22"/>
        </w:rPr>
      </w:pPr>
      <w:r w:rsidRPr="002C3347">
        <w:rPr>
          <w:b/>
          <w:sz w:val="22"/>
        </w:rPr>
        <w:t>Proyección de dotación y mantenimiento</w:t>
      </w:r>
    </w:p>
    <w:p w14:paraId="637F5AC9" w14:textId="77777777" w:rsidR="007A58F8" w:rsidRDefault="007A58F8" w:rsidP="003305BD">
      <w:pPr>
        <w:jc w:val="both"/>
        <w:rPr>
          <w:sz w:val="22"/>
          <w:szCs w:val="22"/>
        </w:rPr>
      </w:pPr>
    </w:p>
    <w:p w14:paraId="065578C8" w14:textId="5B7CF2E6" w:rsidR="002C3347" w:rsidRPr="00646FE9" w:rsidRDefault="002C3347" w:rsidP="00646FE9">
      <w:pPr>
        <w:pStyle w:val="Prrafodelista"/>
        <w:numPr>
          <w:ilvl w:val="0"/>
          <w:numId w:val="58"/>
        </w:numPr>
        <w:ind w:left="426" w:hanging="284"/>
        <w:jc w:val="both"/>
        <w:rPr>
          <w:sz w:val="22"/>
          <w:szCs w:val="22"/>
        </w:rPr>
      </w:pPr>
      <w:r w:rsidRPr="00646FE9">
        <w:rPr>
          <w:sz w:val="22"/>
          <w:szCs w:val="22"/>
        </w:rPr>
        <w:t xml:space="preserve">De acuerdo con la información de la Gerencia técnica y la Dirección General del proyecto, al 30 de junio de 2018 el valor del proyecto continúa siendo $276.262 millones de pesos. </w:t>
      </w:r>
      <w:r w:rsidR="00F719ED" w:rsidRPr="00646FE9">
        <w:rPr>
          <w:sz w:val="22"/>
          <w:szCs w:val="22"/>
        </w:rPr>
        <w:t xml:space="preserve"> </w:t>
      </w:r>
      <w:r w:rsidRPr="00646FE9">
        <w:rPr>
          <w:sz w:val="22"/>
          <w:szCs w:val="22"/>
        </w:rPr>
        <w:t xml:space="preserve">En relación con el detalle de la dotación informan que este </w:t>
      </w:r>
      <w:r w:rsidRPr="001F44F4">
        <w:rPr>
          <w:sz w:val="18"/>
          <w:szCs w:val="22"/>
        </w:rPr>
        <w:t>“</w:t>
      </w:r>
      <w:r w:rsidRPr="001F44F4">
        <w:rPr>
          <w:i/>
          <w:sz w:val="18"/>
          <w:szCs w:val="22"/>
        </w:rPr>
        <w:t>será el resultado de los estudios y diseño del proyecto Complejo de Salud. Los estudios en mención están en proceso</w:t>
      </w:r>
      <w:r w:rsidRPr="001F44F4">
        <w:rPr>
          <w:sz w:val="18"/>
          <w:szCs w:val="22"/>
        </w:rPr>
        <w:t>”</w:t>
      </w:r>
    </w:p>
    <w:p w14:paraId="79817434" w14:textId="77777777" w:rsidR="007A58F8" w:rsidRDefault="007A58F8" w:rsidP="007A58F8">
      <w:pPr>
        <w:ind w:left="426" w:hanging="284"/>
        <w:jc w:val="both"/>
        <w:rPr>
          <w:sz w:val="22"/>
          <w:szCs w:val="22"/>
        </w:rPr>
      </w:pPr>
    </w:p>
    <w:p w14:paraId="128C67DA" w14:textId="6EF649FD" w:rsidR="002C3347" w:rsidRPr="001F44F4" w:rsidRDefault="002C3347" w:rsidP="00646FE9">
      <w:pPr>
        <w:pStyle w:val="Prrafodelista"/>
        <w:numPr>
          <w:ilvl w:val="0"/>
          <w:numId w:val="58"/>
        </w:numPr>
        <w:ind w:left="426" w:hanging="284"/>
        <w:jc w:val="both"/>
        <w:rPr>
          <w:sz w:val="18"/>
          <w:szCs w:val="22"/>
        </w:rPr>
      </w:pPr>
      <w:r w:rsidRPr="00646FE9">
        <w:rPr>
          <w:sz w:val="22"/>
          <w:szCs w:val="22"/>
        </w:rPr>
        <w:t xml:space="preserve">En cuanto al presupuesto de mantenimiento informan que </w:t>
      </w:r>
      <w:r w:rsidRPr="001F44F4">
        <w:rPr>
          <w:sz w:val="18"/>
          <w:szCs w:val="22"/>
        </w:rPr>
        <w:t>“</w:t>
      </w:r>
      <w:r w:rsidRPr="001F44F4">
        <w:rPr>
          <w:i/>
          <w:sz w:val="18"/>
          <w:szCs w:val="22"/>
        </w:rPr>
        <w:t>este se elabora con los estudios y diseño del proyecto Complejo de Salud. Los estudios en mención están en proceso de elaboración</w:t>
      </w:r>
      <w:r w:rsidRPr="001F44F4">
        <w:rPr>
          <w:sz w:val="18"/>
          <w:szCs w:val="22"/>
        </w:rPr>
        <w:t>”</w:t>
      </w:r>
    </w:p>
    <w:p w14:paraId="2FFFCEC9" w14:textId="312B5C16" w:rsidR="002C3347" w:rsidRDefault="002C3347" w:rsidP="003305BD">
      <w:pPr>
        <w:jc w:val="both"/>
        <w:rPr>
          <w:sz w:val="22"/>
          <w:szCs w:val="22"/>
        </w:rPr>
      </w:pPr>
    </w:p>
    <w:p w14:paraId="67788D09" w14:textId="77777777" w:rsidR="002C3347" w:rsidRPr="00635C3F" w:rsidRDefault="002C3347" w:rsidP="003305BD">
      <w:pPr>
        <w:jc w:val="both"/>
        <w:rPr>
          <w:sz w:val="22"/>
          <w:szCs w:val="22"/>
        </w:rPr>
      </w:pPr>
    </w:p>
    <w:p w14:paraId="29872D8D" w14:textId="589CC1D4" w:rsidR="003305BD" w:rsidRDefault="007D6FA7" w:rsidP="003305BD">
      <w:pPr>
        <w:rPr>
          <w:b/>
          <w:color w:val="385623" w:themeColor="accent6" w:themeShade="80"/>
          <w:sz w:val="22"/>
        </w:rPr>
      </w:pPr>
      <w:r>
        <w:rPr>
          <w:b/>
          <w:color w:val="385623" w:themeColor="accent6" w:themeShade="80"/>
          <w:sz w:val="22"/>
        </w:rPr>
        <w:t>Observaci</w:t>
      </w:r>
      <w:r w:rsidR="00825548">
        <w:rPr>
          <w:b/>
          <w:color w:val="385623" w:themeColor="accent6" w:themeShade="80"/>
          <w:sz w:val="22"/>
        </w:rPr>
        <w:t>ón</w:t>
      </w:r>
      <w:r w:rsidR="003305BD" w:rsidRPr="00635C3F">
        <w:rPr>
          <w:b/>
          <w:color w:val="385623" w:themeColor="accent6" w:themeShade="80"/>
          <w:sz w:val="22"/>
        </w:rPr>
        <w:t xml:space="preserve"> </w:t>
      </w:r>
    </w:p>
    <w:p w14:paraId="7AE82849" w14:textId="25C67844" w:rsidR="003305BD" w:rsidRPr="00635C3F" w:rsidRDefault="003305BD" w:rsidP="003305BD">
      <w:pPr>
        <w:jc w:val="both"/>
        <w:rPr>
          <w:sz w:val="22"/>
          <w:szCs w:val="22"/>
        </w:rPr>
      </w:pPr>
      <w:r>
        <w:rPr>
          <w:sz w:val="22"/>
          <w:szCs w:val="22"/>
        </w:rPr>
        <w:t>En la comunicación del DNP</w:t>
      </w:r>
      <w:r w:rsidR="00D32855">
        <w:rPr>
          <w:sz w:val="22"/>
          <w:szCs w:val="22"/>
        </w:rPr>
        <w:t>,</w:t>
      </w:r>
      <w:r>
        <w:rPr>
          <w:sz w:val="22"/>
          <w:szCs w:val="22"/>
        </w:rPr>
        <w:t xml:space="preserve"> el concepto menciona un valor bajo el cual se recibió el concepto </w:t>
      </w:r>
      <w:r w:rsidRPr="00D616F3">
        <w:rPr>
          <w:sz w:val="22"/>
          <w:szCs w:val="22"/>
        </w:rPr>
        <w:t xml:space="preserve">favorable </w:t>
      </w:r>
      <w:r>
        <w:rPr>
          <w:sz w:val="22"/>
          <w:szCs w:val="22"/>
        </w:rPr>
        <w:t xml:space="preserve">y de acuerdo a la documentación soporte de la </w:t>
      </w:r>
      <w:r w:rsidR="00633EA3">
        <w:rPr>
          <w:sz w:val="22"/>
          <w:szCs w:val="22"/>
        </w:rPr>
        <w:t>directora</w:t>
      </w:r>
      <w:r>
        <w:rPr>
          <w:sz w:val="22"/>
          <w:szCs w:val="22"/>
        </w:rPr>
        <w:t xml:space="preserve"> del proyecto</w:t>
      </w:r>
      <w:r w:rsidR="00674BB2">
        <w:rPr>
          <w:sz w:val="22"/>
          <w:szCs w:val="22"/>
        </w:rPr>
        <w:t>,</w:t>
      </w:r>
      <w:r>
        <w:rPr>
          <w:sz w:val="22"/>
          <w:szCs w:val="22"/>
        </w:rPr>
        <w:t xml:space="preserve"> la diferencia</w:t>
      </w:r>
      <w:r w:rsidR="00674BB2">
        <w:rPr>
          <w:sz w:val="22"/>
          <w:szCs w:val="22"/>
        </w:rPr>
        <w:t xml:space="preserve"> de los presupuestos (</w:t>
      </w:r>
      <w:r>
        <w:rPr>
          <w:sz w:val="22"/>
          <w:szCs w:val="22"/>
        </w:rPr>
        <w:t xml:space="preserve"> </w:t>
      </w:r>
      <w:r w:rsidR="00674BB2">
        <w:rPr>
          <w:sz w:val="22"/>
          <w:szCs w:val="22"/>
        </w:rPr>
        <w:t>$231.635 -</w:t>
      </w:r>
      <w:r w:rsidR="00674BB2" w:rsidRPr="00646FE9">
        <w:rPr>
          <w:sz w:val="22"/>
          <w:szCs w:val="22"/>
        </w:rPr>
        <w:t xml:space="preserve">$276.262 </w:t>
      </w:r>
      <w:r w:rsidR="00674BB2">
        <w:rPr>
          <w:sz w:val="22"/>
          <w:szCs w:val="22"/>
        </w:rPr>
        <w:t xml:space="preserve">) </w:t>
      </w:r>
      <w:r>
        <w:rPr>
          <w:sz w:val="22"/>
          <w:szCs w:val="22"/>
        </w:rPr>
        <w:t xml:space="preserve">es cercana al 20%. </w:t>
      </w:r>
      <w:r w:rsidR="00F719ED">
        <w:rPr>
          <w:sz w:val="22"/>
          <w:szCs w:val="22"/>
        </w:rPr>
        <w:t xml:space="preserve"> </w:t>
      </w:r>
      <w:r>
        <w:rPr>
          <w:sz w:val="22"/>
          <w:szCs w:val="22"/>
        </w:rPr>
        <w:t>Adicionalmente, los $276.262 millones de pesos no incluyen la proyección de costos de funcionamiento de las dependencias que conforman el proyecto. Situación que hace necesario validar y definir técnicamente el costo rea</w:t>
      </w:r>
      <w:r w:rsidR="002C3347">
        <w:rPr>
          <w:sz w:val="22"/>
          <w:szCs w:val="22"/>
        </w:rPr>
        <w:t>l del proyecto, valor que técnicamente se obtiene posterior a la etapa de estudios y diseños</w:t>
      </w:r>
      <w:r w:rsidR="00197072">
        <w:rPr>
          <w:sz w:val="22"/>
          <w:szCs w:val="22"/>
        </w:rPr>
        <w:t xml:space="preserve"> que se encuentra en curso</w:t>
      </w:r>
      <w:r w:rsidR="002C3347">
        <w:rPr>
          <w:sz w:val="22"/>
          <w:szCs w:val="22"/>
        </w:rPr>
        <w:t>.</w:t>
      </w:r>
    </w:p>
    <w:p w14:paraId="375E6A43" w14:textId="11E9EC33" w:rsidR="003305BD" w:rsidRDefault="003305BD" w:rsidP="003305BD">
      <w:pPr>
        <w:pStyle w:val="Prrafodelista"/>
        <w:ind w:left="567"/>
        <w:rPr>
          <w:b/>
          <w:color w:val="385623" w:themeColor="accent6" w:themeShade="80"/>
          <w:sz w:val="22"/>
        </w:rPr>
      </w:pPr>
    </w:p>
    <w:p w14:paraId="44BBF9CD" w14:textId="527BCDA0" w:rsidR="00A81B0E" w:rsidRDefault="00A81B0E" w:rsidP="00A81B0E">
      <w:pPr>
        <w:rPr>
          <w:b/>
          <w:color w:val="385623" w:themeColor="accent6" w:themeShade="80"/>
          <w:sz w:val="22"/>
        </w:rPr>
      </w:pPr>
      <w:r>
        <w:rPr>
          <w:b/>
          <w:color w:val="385623" w:themeColor="accent6" w:themeShade="80"/>
          <w:sz w:val="22"/>
        </w:rPr>
        <w:t>Riesgo</w:t>
      </w:r>
      <w:r w:rsidR="0031234D">
        <w:rPr>
          <w:b/>
          <w:color w:val="385623" w:themeColor="accent6" w:themeShade="80"/>
          <w:sz w:val="22"/>
        </w:rPr>
        <w:t>s</w:t>
      </w:r>
    </w:p>
    <w:p w14:paraId="42098202" w14:textId="0A82F867" w:rsidR="003305BD" w:rsidRPr="00646FE9" w:rsidRDefault="007A58F8" w:rsidP="00646FE9">
      <w:pPr>
        <w:pStyle w:val="Prrafodelista"/>
        <w:numPr>
          <w:ilvl w:val="0"/>
          <w:numId w:val="59"/>
        </w:numPr>
        <w:jc w:val="both"/>
        <w:rPr>
          <w:sz w:val="22"/>
          <w:szCs w:val="22"/>
        </w:rPr>
      </w:pPr>
      <w:r>
        <w:rPr>
          <w:sz w:val="22"/>
          <w:szCs w:val="22"/>
        </w:rPr>
        <w:t>Riesgo financiero en la</w:t>
      </w:r>
      <w:r w:rsidR="00A0631A" w:rsidRPr="00646FE9">
        <w:rPr>
          <w:sz w:val="22"/>
          <w:szCs w:val="22"/>
        </w:rPr>
        <w:t xml:space="preserve"> ejecución de recursos para el contrato de mandato</w:t>
      </w:r>
      <w:r w:rsidR="0031234D" w:rsidRPr="00646FE9">
        <w:rPr>
          <w:sz w:val="22"/>
          <w:szCs w:val="22"/>
        </w:rPr>
        <w:t xml:space="preserve"> pues se estarían realizando diseños sin tener </w:t>
      </w:r>
      <w:r w:rsidR="004E3353" w:rsidRPr="00646FE9">
        <w:rPr>
          <w:sz w:val="22"/>
          <w:szCs w:val="22"/>
        </w:rPr>
        <w:t>formalmente</w:t>
      </w:r>
      <w:r w:rsidR="0031234D" w:rsidRPr="00646FE9">
        <w:rPr>
          <w:sz w:val="22"/>
          <w:szCs w:val="22"/>
        </w:rPr>
        <w:t xml:space="preserve"> </w:t>
      </w:r>
      <w:r w:rsidR="00453004" w:rsidRPr="00646FE9">
        <w:rPr>
          <w:sz w:val="22"/>
          <w:szCs w:val="22"/>
        </w:rPr>
        <w:t xml:space="preserve">definido </w:t>
      </w:r>
      <w:r w:rsidR="0031234D" w:rsidRPr="00646FE9">
        <w:rPr>
          <w:sz w:val="22"/>
          <w:szCs w:val="22"/>
        </w:rPr>
        <w:t>quienes hacen parte del proyecto y por tanto el valor del proyecto puede estar sobre o subvalorado.</w:t>
      </w:r>
    </w:p>
    <w:p w14:paraId="3A736A00" w14:textId="77777777" w:rsidR="0063612F" w:rsidRPr="00B54A31" w:rsidRDefault="0063612F" w:rsidP="00A81B0E">
      <w:pPr>
        <w:jc w:val="both"/>
        <w:rPr>
          <w:sz w:val="6"/>
          <w:szCs w:val="22"/>
        </w:rPr>
      </w:pPr>
    </w:p>
    <w:p w14:paraId="78B64881" w14:textId="6C3FB039" w:rsidR="0063612F" w:rsidRPr="00646FE9" w:rsidRDefault="0063612F" w:rsidP="00646FE9">
      <w:pPr>
        <w:pStyle w:val="Prrafodelista"/>
        <w:numPr>
          <w:ilvl w:val="0"/>
          <w:numId w:val="59"/>
        </w:numPr>
        <w:jc w:val="both"/>
        <w:rPr>
          <w:sz w:val="22"/>
          <w:szCs w:val="22"/>
        </w:rPr>
      </w:pPr>
      <w:r w:rsidRPr="00646FE9">
        <w:rPr>
          <w:sz w:val="22"/>
          <w:szCs w:val="22"/>
        </w:rPr>
        <w:t xml:space="preserve">La no claridad del análisis financiero del proyecto en la fase de diseños puede </w:t>
      </w:r>
      <w:r w:rsidR="004E3353" w:rsidRPr="00646FE9">
        <w:rPr>
          <w:sz w:val="22"/>
          <w:szCs w:val="22"/>
        </w:rPr>
        <w:t>generar inadecuadas</w:t>
      </w:r>
      <w:r w:rsidRPr="00646FE9">
        <w:rPr>
          <w:color w:val="FF0000"/>
          <w:sz w:val="22"/>
          <w:szCs w:val="22"/>
        </w:rPr>
        <w:t xml:space="preserve"> </w:t>
      </w:r>
      <w:r w:rsidRPr="00646FE9">
        <w:rPr>
          <w:sz w:val="22"/>
          <w:szCs w:val="22"/>
        </w:rPr>
        <w:t>decisiones en la etapa de gestión de recursos y ejecución del proyecto</w:t>
      </w:r>
    </w:p>
    <w:p w14:paraId="55C6197F" w14:textId="77777777" w:rsidR="0031234D" w:rsidRPr="00B54A31" w:rsidRDefault="0031234D" w:rsidP="00A81B0E">
      <w:pPr>
        <w:jc w:val="both"/>
        <w:rPr>
          <w:sz w:val="16"/>
          <w:szCs w:val="22"/>
        </w:rPr>
      </w:pPr>
    </w:p>
    <w:p w14:paraId="61DF2A90" w14:textId="77777777" w:rsidR="00A81B0E" w:rsidRPr="00B54A31" w:rsidRDefault="00A81B0E" w:rsidP="00A81B0E">
      <w:pPr>
        <w:rPr>
          <w:b/>
          <w:color w:val="385623" w:themeColor="accent6" w:themeShade="80"/>
        </w:rPr>
      </w:pPr>
      <w:r w:rsidRPr="00B54A31">
        <w:rPr>
          <w:b/>
          <w:color w:val="385623" w:themeColor="accent6" w:themeShade="80"/>
          <w:sz w:val="22"/>
        </w:rPr>
        <w:t>Recomendación</w:t>
      </w:r>
    </w:p>
    <w:p w14:paraId="4297E384" w14:textId="749D6F5B" w:rsidR="002C3347" w:rsidRPr="00646FE9" w:rsidRDefault="002C3347" w:rsidP="00646FE9">
      <w:pPr>
        <w:pStyle w:val="Prrafodelista"/>
        <w:numPr>
          <w:ilvl w:val="0"/>
          <w:numId w:val="60"/>
        </w:numPr>
        <w:jc w:val="both"/>
        <w:rPr>
          <w:sz w:val="22"/>
          <w:szCs w:val="22"/>
        </w:rPr>
      </w:pPr>
      <w:r w:rsidRPr="00646FE9">
        <w:rPr>
          <w:sz w:val="22"/>
          <w:szCs w:val="22"/>
        </w:rPr>
        <w:t xml:space="preserve">El Consejo Superior debe definir las unidades, dependencias y facultades que hacen parte del proyecto, pues esto </w:t>
      </w:r>
      <w:r w:rsidR="009A58B6" w:rsidRPr="00646FE9">
        <w:rPr>
          <w:sz w:val="22"/>
          <w:szCs w:val="22"/>
        </w:rPr>
        <w:t xml:space="preserve">es </w:t>
      </w:r>
      <w:r w:rsidRPr="00646FE9">
        <w:rPr>
          <w:sz w:val="22"/>
          <w:szCs w:val="22"/>
        </w:rPr>
        <w:t xml:space="preserve">necesario para </w:t>
      </w:r>
      <w:r w:rsidR="0031234D" w:rsidRPr="00646FE9">
        <w:rPr>
          <w:sz w:val="22"/>
          <w:szCs w:val="22"/>
        </w:rPr>
        <w:t>las actividades de estudio y diseño que realizan actualmente en el contrato de mandato. Es con la estructura definida que se definen los diseños y por tanto el valor que requiere el proyecto en su totalidad.</w:t>
      </w:r>
    </w:p>
    <w:p w14:paraId="77EB3A3B" w14:textId="226A0C9B" w:rsidR="0031234D" w:rsidRPr="00B54A31" w:rsidRDefault="0031234D" w:rsidP="00A81B0E">
      <w:pPr>
        <w:jc w:val="both"/>
        <w:rPr>
          <w:sz w:val="10"/>
          <w:szCs w:val="22"/>
        </w:rPr>
      </w:pPr>
    </w:p>
    <w:p w14:paraId="605788B2" w14:textId="77777777" w:rsidR="00F719ED" w:rsidRPr="00646FE9" w:rsidRDefault="0031234D" w:rsidP="00646FE9">
      <w:pPr>
        <w:pStyle w:val="Prrafodelista"/>
        <w:numPr>
          <w:ilvl w:val="0"/>
          <w:numId w:val="60"/>
        </w:numPr>
        <w:jc w:val="both"/>
        <w:rPr>
          <w:sz w:val="22"/>
          <w:szCs w:val="22"/>
        </w:rPr>
      </w:pPr>
      <w:r w:rsidRPr="00646FE9">
        <w:rPr>
          <w:sz w:val="22"/>
          <w:szCs w:val="22"/>
        </w:rPr>
        <w:t>Analizar la</w:t>
      </w:r>
      <w:r w:rsidR="002C3347" w:rsidRPr="00646FE9">
        <w:rPr>
          <w:sz w:val="22"/>
          <w:szCs w:val="22"/>
        </w:rPr>
        <w:t xml:space="preserve"> </w:t>
      </w:r>
      <w:r w:rsidRPr="00646FE9">
        <w:rPr>
          <w:sz w:val="22"/>
          <w:szCs w:val="22"/>
        </w:rPr>
        <w:t xml:space="preserve">pertinencia de la </w:t>
      </w:r>
      <w:r w:rsidR="002C3347" w:rsidRPr="00646FE9">
        <w:rPr>
          <w:sz w:val="22"/>
          <w:szCs w:val="22"/>
        </w:rPr>
        <w:t xml:space="preserve">continuidad de la ejecución del contrato de mandato con la CIS, </w:t>
      </w:r>
      <w:r w:rsidRPr="00646FE9">
        <w:rPr>
          <w:sz w:val="22"/>
          <w:szCs w:val="22"/>
        </w:rPr>
        <w:t>hasta tanto la administración defina las unidades, dependencias y facultades que harán parte del proyecto.</w:t>
      </w:r>
    </w:p>
    <w:p w14:paraId="1CC3A55C" w14:textId="77777777" w:rsidR="0063612F" w:rsidRPr="00B54A31" w:rsidRDefault="0063612F" w:rsidP="00A81B0E">
      <w:pPr>
        <w:jc w:val="both"/>
        <w:rPr>
          <w:sz w:val="10"/>
          <w:szCs w:val="22"/>
        </w:rPr>
      </w:pPr>
    </w:p>
    <w:p w14:paraId="18AB71CC" w14:textId="672D6E2D" w:rsidR="0063612F" w:rsidRPr="00646FE9" w:rsidRDefault="0063612F" w:rsidP="00646FE9">
      <w:pPr>
        <w:pStyle w:val="Prrafodelista"/>
        <w:numPr>
          <w:ilvl w:val="0"/>
          <w:numId w:val="60"/>
        </w:numPr>
        <w:jc w:val="both"/>
        <w:rPr>
          <w:sz w:val="22"/>
          <w:szCs w:val="22"/>
        </w:rPr>
      </w:pPr>
      <w:r w:rsidRPr="00646FE9">
        <w:rPr>
          <w:sz w:val="22"/>
          <w:szCs w:val="22"/>
        </w:rPr>
        <w:t xml:space="preserve">Incluir </w:t>
      </w:r>
      <w:r w:rsidR="0062597E" w:rsidRPr="00646FE9">
        <w:rPr>
          <w:sz w:val="22"/>
          <w:szCs w:val="22"/>
        </w:rPr>
        <w:t>en los estudios y diseños el</w:t>
      </w:r>
      <w:r w:rsidRPr="00646FE9">
        <w:rPr>
          <w:sz w:val="22"/>
          <w:szCs w:val="22"/>
        </w:rPr>
        <w:t xml:space="preserve"> análisis financiero a fondo para definir la viabilidad </w:t>
      </w:r>
      <w:r w:rsidR="0062597E" w:rsidRPr="00646FE9">
        <w:rPr>
          <w:sz w:val="22"/>
          <w:szCs w:val="22"/>
        </w:rPr>
        <w:t xml:space="preserve">económica </w:t>
      </w:r>
      <w:r w:rsidRPr="00646FE9">
        <w:rPr>
          <w:sz w:val="22"/>
          <w:szCs w:val="22"/>
        </w:rPr>
        <w:t>del mismo y los montos de gestión de recursos</w:t>
      </w:r>
      <w:r w:rsidR="0062597E" w:rsidRPr="00646FE9">
        <w:rPr>
          <w:sz w:val="22"/>
          <w:szCs w:val="22"/>
        </w:rPr>
        <w:t xml:space="preserve"> para la construcción y sostenimiento.</w:t>
      </w:r>
    </w:p>
    <w:p w14:paraId="0C71C0BB" w14:textId="79E2E9B0" w:rsidR="00A81B0E" w:rsidRPr="00B54A31" w:rsidRDefault="00A81B0E" w:rsidP="00A81B0E">
      <w:pPr>
        <w:jc w:val="both"/>
        <w:rPr>
          <w:sz w:val="16"/>
          <w:szCs w:val="22"/>
        </w:rPr>
      </w:pPr>
    </w:p>
    <w:p w14:paraId="6969F016" w14:textId="77777777" w:rsidR="009B1587" w:rsidRPr="006C5D16" w:rsidRDefault="009B1587" w:rsidP="009B1587">
      <w:pPr>
        <w:rPr>
          <w:bCs/>
          <w:sz w:val="22"/>
          <w:szCs w:val="22"/>
        </w:rPr>
      </w:pPr>
      <w:r w:rsidRPr="006C5D16">
        <w:rPr>
          <w:b/>
          <w:color w:val="385623" w:themeColor="accent6" w:themeShade="80"/>
          <w:sz w:val="22"/>
        </w:rPr>
        <w:t xml:space="preserve">Comentarios Administración </w:t>
      </w:r>
    </w:p>
    <w:p w14:paraId="590F667A" w14:textId="41248F22" w:rsidR="00B54A31" w:rsidRDefault="00B54A31" w:rsidP="009B1587">
      <w:pPr>
        <w:jc w:val="both"/>
        <w:rPr>
          <w:bCs/>
          <w:sz w:val="22"/>
          <w:szCs w:val="22"/>
        </w:rPr>
      </w:pPr>
      <w:r>
        <w:rPr>
          <w:bCs/>
          <w:sz w:val="22"/>
          <w:szCs w:val="22"/>
        </w:rPr>
        <w:t>La Directora General del proyecto aclara lo relacionado con el valor del proyecto y su metodología en la definición, además de las solicitudes realizadas a la Vicerrectoría administrativa en relación con el estudio de costos.</w:t>
      </w:r>
    </w:p>
    <w:p w14:paraId="652F9859" w14:textId="47851F52" w:rsidR="00B54A31" w:rsidRDefault="00B54A31" w:rsidP="009B1587">
      <w:pPr>
        <w:jc w:val="both"/>
        <w:rPr>
          <w:bCs/>
          <w:sz w:val="22"/>
          <w:szCs w:val="22"/>
        </w:rPr>
      </w:pPr>
      <w:r>
        <w:rPr>
          <w:bCs/>
          <w:sz w:val="22"/>
          <w:szCs w:val="22"/>
        </w:rPr>
        <w:t xml:space="preserve">Adicionalmente, el proyecto está inscrito en el BUPP. </w:t>
      </w:r>
    </w:p>
    <w:p w14:paraId="202C72C1" w14:textId="58F5B50D" w:rsidR="009B1587" w:rsidRPr="00CB56C5" w:rsidRDefault="009B1587" w:rsidP="009B1587">
      <w:pPr>
        <w:jc w:val="both"/>
        <w:rPr>
          <w:bCs/>
          <w:sz w:val="22"/>
          <w:szCs w:val="22"/>
        </w:rPr>
      </w:pPr>
      <w:r w:rsidRPr="00CB56C5">
        <w:rPr>
          <w:bCs/>
          <w:sz w:val="22"/>
          <w:szCs w:val="22"/>
        </w:rPr>
        <w:t xml:space="preserve">De </w:t>
      </w:r>
      <w:r w:rsidRPr="009B1587">
        <w:rPr>
          <w:sz w:val="22"/>
        </w:rPr>
        <w:t>acuerdo</w:t>
      </w:r>
      <w:r w:rsidRPr="00CB56C5">
        <w:rPr>
          <w:bCs/>
          <w:sz w:val="22"/>
          <w:szCs w:val="22"/>
        </w:rPr>
        <w:t xml:space="preserve"> con la recomendación</w:t>
      </w:r>
    </w:p>
    <w:p w14:paraId="112BFAE1" w14:textId="77777777" w:rsidR="005576A6" w:rsidRDefault="005576A6" w:rsidP="00A81B0E">
      <w:pPr>
        <w:jc w:val="both"/>
        <w:rPr>
          <w:sz w:val="22"/>
          <w:szCs w:val="22"/>
        </w:rPr>
      </w:pPr>
    </w:p>
    <w:p w14:paraId="4E567209" w14:textId="77777777" w:rsidR="003305BD" w:rsidRPr="001F44F4" w:rsidRDefault="003305BD" w:rsidP="003A7278">
      <w:pPr>
        <w:pStyle w:val="Ttulo4"/>
        <w:numPr>
          <w:ilvl w:val="2"/>
          <w:numId w:val="82"/>
        </w:numPr>
        <w:rPr>
          <w:rFonts w:ascii="Times New Roman" w:hAnsi="Times New Roman" w:cs="Times New Roman"/>
          <w:b/>
          <w:color w:val="385623" w:themeColor="accent6" w:themeShade="80"/>
          <w:sz w:val="22"/>
        </w:rPr>
      </w:pPr>
      <w:r w:rsidRPr="001F44F4">
        <w:rPr>
          <w:rFonts w:ascii="Times New Roman" w:hAnsi="Times New Roman" w:cs="Times New Roman"/>
          <w:b/>
          <w:color w:val="385623" w:themeColor="accent6" w:themeShade="80"/>
          <w:sz w:val="22"/>
        </w:rPr>
        <w:t>Resultados Calificadora</w:t>
      </w:r>
    </w:p>
    <w:p w14:paraId="6561AECA" w14:textId="77777777" w:rsidR="003305BD" w:rsidRDefault="003305BD" w:rsidP="003305BD">
      <w:pPr>
        <w:pStyle w:val="Prrafodelista"/>
      </w:pPr>
    </w:p>
    <w:p w14:paraId="6F7B6E52" w14:textId="24891A1C" w:rsidR="003305BD" w:rsidRPr="00646FE9" w:rsidRDefault="003305BD" w:rsidP="003305BD">
      <w:pPr>
        <w:jc w:val="both"/>
        <w:rPr>
          <w:sz w:val="22"/>
        </w:rPr>
      </w:pPr>
      <w:r w:rsidRPr="00646FE9">
        <w:rPr>
          <w:sz w:val="22"/>
        </w:rPr>
        <w:t>El pasado 6 de abril de 2018, Fitch Ratings asignó en ‘AA(col)’ la calificación nacional de largo plazo de la Universidad Antioquia (U de A). La perspectiva de la calificación es estable, así mismo expresó:</w:t>
      </w:r>
    </w:p>
    <w:p w14:paraId="47B533F8" w14:textId="77777777" w:rsidR="00633EA3" w:rsidRPr="00B54A31" w:rsidRDefault="00633EA3" w:rsidP="001A71F1">
      <w:pPr>
        <w:ind w:left="284" w:right="333"/>
        <w:jc w:val="both"/>
        <w:rPr>
          <w:i/>
          <w:sz w:val="8"/>
          <w:szCs w:val="20"/>
        </w:rPr>
      </w:pPr>
    </w:p>
    <w:p w14:paraId="6C411D13" w14:textId="1FE8F96B" w:rsidR="003305BD" w:rsidRPr="001F44F4" w:rsidRDefault="00AD0C9B" w:rsidP="001A71F1">
      <w:pPr>
        <w:ind w:left="284" w:right="333"/>
        <w:jc w:val="both"/>
        <w:rPr>
          <w:i/>
          <w:sz w:val="18"/>
          <w:szCs w:val="20"/>
        </w:rPr>
      </w:pPr>
      <w:r w:rsidRPr="001F44F4">
        <w:rPr>
          <w:i/>
          <w:sz w:val="18"/>
          <w:szCs w:val="20"/>
        </w:rPr>
        <w:t>(…)</w:t>
      </w:r>
      <w:r w:rsidR="00775BBA" w:rsidRPr="001F44F4">
        <w:rPr>
          <w:i/>
          <w:sz w:val="18"/>
          <w:szCs w:val="20"/>
        </w:rPr>
        <w:t xml:space="preserve"> </w:t>
      </w:r>
      <w:r w:rsidR="003305BD" w:rsidRPr="001F44F4">
        <w:rPr>
          <w:i/>
          <w:sz w:val="18"/>
          <w:szCs w:val="20"/>
        </w:rPr>
        <w:t>“Perfil Financiero”</w:t>
      </w:r>
    </w:p>
    <w:p w14:paraId="79B1EFAE" w14:textId="2105061B" w:rsidR="003305BD" w:rsidRPr="001F44F4" w:rsidRDefault="003305BD" w:rsidP="00775BBA">
      <w:pPr>
        <w:ind w:left="284" w:right="333"/>
        <w:jc w:val="both"/>
        <w:rPr>
          <w:i/>
          <w:sz w:val="18"/>
          <w:szCs w:val="20"/>
        </w:rPr>
      </w:pPr>
      <w:r w:rsidRPr="001F44F4">
        <w:rPr>
          <w:i/>
          <w:sz w:val="18"/>
          <w:szCs w:val="20"/>
        </w:rPr>
        <w:t xml:space="preserve">Factor clasificado como Rango Medio. Para esta revisión se mantienen las pretensiones de endeudamiento nuevo por COP220.000 millones que ya habían sido calificadas por Fitch en revisiones anteriores. La agencia estima que el apalancamiento neto máximo de la universidad sea inferior a 3 veces (x), considerando la disponibilidad de los recursos de la estampilla para el servicio de la deuda, por lo que se considera que el perfil de apalancamiento es bastante fuerte, a pesar de que </w:t>
      </w:r>
      <w:r w:rsidRPr="001F44F4">
        <w:rPr>
          <w:i/>
          <w:sz w:val="18"/>
          <w:szCs w:val="20"/>
          <w:u w:val="single"/>
        </w:rPr>
        <w:t>la U de A sería la universidad con mayor endeudamiento neto del portafolio de universidades calificadas por Fitch</w:t>
      </w:r>
      <w:r w:rsidRPr="001F44F4">
        <w:rPr>
          <w:i/>
          <w:sz w:val="18"/>
          <w:szCs w:val="20"/>
        </w:rPr>
        <w:t xml:space="preserve">. Debido a las limitaciones operativas, la liquidez de la universidad es bastante limitada con respecto a su nivel de gasto. Para el 2017, el colchón de liquidez irrestricto, medido como el saldo de liquidez de fondos no irrestrictos más el ahorro operacional ajustado fue de 0,15x el gasto operativo anual. La agencia no espera una mejora en este indicador en el mediano plazo debido a que las presiones de gasto inherentes al sector continuarían limitando el crecimiento de los fondos líquidos, al tiempo que el gasto operativo crece a tasas elevadas.”  </w:t>
      </w:r>
      <w:r w:rsidRPr="001F44F4">
        <w:rPr>
          <w:sz w:val="18"/>
          <w:szCs w:val="20"/>
        </w:rPr>
        <w:t>(Subrayado por fuera del texto)</w:t>
      </w:r>
    </w:p>
    <w:p w14:paraId="3A44DE66" w14:textId="77777777" w:rsidR="003305BD" w:rsidRDefault="003305BD" w:rsidP="003305BD">
      <w:pPr>
        <w:rPr>
          <w:b/>
          <w:color w:val="385623" w:themeColor="accent6" w:themeShade="80"/>
          <w:sz w:val="22"/>
        </w:rPr>
      </w:pPr>
    </w:p>
    <w:p w14:paraId="57B175CC" w14:textId="5D804A07" w:rsidR="003305BD" w:rsidRPr="00795E25" w:rsidRDefault="007A58F8" w:rsidP="003305BD">
      <w:pPr>
        <w:rPr>
          <w:b/>
          <w:color w:val="385623" w:themeColor="accent6" w:themeShade="80"/>
          <w:sz w:val="22"/>
          <w:szCs w:val="22"/>
        </w:rPr>
      </w:pPr>
      <w:r>
        <w:rPr>
          <w:b/>
          <w:color w:val="385623" w:themeColor="accent6" w:themeShade="80"/>
          <w:sz w:val="22"/>
          <w:szCs w:val="22"/>
        </w:rPr>
        <w:t>Observación</w:t>
      </w:r>
    </w:p>
    <w:p w14:paraId="72F34EB5" w14:textId="3BD241E4" w:rsidR="00A31D47" w:rsidRPr="00795E25" w:rsidRDefault="00A31D47" w:rsidP="00A31D47">
      <w:pPr>
        <w:jc w:val="both"/>
        <w:rPr>
          <w:sz w:val="22"/>
          <w:szCs w:val="22"/>
        </w:rPr>
      </w:pPr>
      <w:r w:rsidRPr="00795E25">
        <w:rPr>
          <w:sz w:val="22"/>
          <w:szCs w:val="22"/>
        </w:rPr>
        <w:t>El documento de la calificadora menciona además que la liquidez de la Universidad es bastante limitada con respecto a su nivel de gasto, indicando también que el perfil de riesgo podría deteriorarse frente a un retroceso significativo en los fondos.</w:t>
      </w:r>
    </w:p>
    <w:p w14:paraId="6D898AD3" w14:textId="212852F3" w:rsidR="00F435C9" w:rsidRDefault="00F435C9" w:rsidP="00D616F3">
      <w:pPr>
        <w:rPr>
          <w:b/>
          <w:color w:val="385623" w:themeColor="accent6" w:themeShade="80"/>
          <w:sz w:val="22"/>
          <w:szCs w:val="22"/>
        </w:rPr>
      </w:pPr>
    </w:p>
    <w:p w14:paraId="68974EED" w14:textId="10C8BE64" w:rsidR="00F435C9" w:rsidRPr="0034731A" w:rsidRDefault="00D616F3" w:rsidP="00D616F3">
      <w:pPr>
        <w:rPr>
          <w:b/>
          <w:color w:val="385623" w:themeColor="accent6" w:themeShade="80"/>
          <w:sz w:val="22"/>
          <w:szCs w:val="22"/>
        </w:rPr>
      </w:pPr>
      <w:r w:rsidRPr="00795E25">
        <w:rPr>
          <w:b/>
          <w:color w:val="385623" w:themeColor="accent6" w:themeShade="80"/>
          <w:sz w:val="22"/>
          <w:szCs w:val="22"/>
        </w:rPr>
        <w:t>Riesgo</w:t>
      </w:r>
    </w:p>
    <w:p w14:paraId="0D2BC6E7" w14:textId="3342924E" w:rsidR="00A31D47" w:rsidRPr="001F44F4" w:rsidRDefault="00A31D47" w:rsidP="001F44F4">
      <w:pPr>
        <w:pStyle w:val="Prrafodelista"/>
        <w:numPr>
          <w:ilvl w:val="0"/>
          <w:numId w:val="68"/>
        </w:numPr>
        <w:ind w:left="284" w:hanging="284"/>
        <w:rPr>
          <w:sz w:val="22"/>
          <w:szCs w:val="22"/>
        </w:rPr>
      </w:pPr>
      <w:r w:rsidRPr="001F44F4">
        <w:rPr>
          <w:sz w:val="22"/>
          <w:szCs w:val="22"/>
        </w:rPr>
        <w:t xml:space="preserve">Posible impacto en calificaciones posteriores. </w:t>
      </w:r>
    </w:p>
    <w:p w14:paraId="00769A25" w14:textId="3D0C7C6E" w:rsidR="0038620A" w:rsidRPr="001F44F4" w:rsidRDefault="0034731A" w:rsidP="001F44F4">
      <w:pPr>
        <w:pStyle w:val="Prrafodelista"/>
        <w:numPr>
          <w:ilvl w:val="0"/>
          <w:numId w:val="68"/>
        </w:numPr>
        <w:ind w:left="284" w:hanging="284"/>
        <w:rPr>
          <w:sz w:val="22"/>
          <w:szCs w:val="22"/>
        </w:rPr>
      </w:pPr>
      <w:r w:rsidRPr="001F44F4">
        <w:rPr>
          <w:sz w:val="22"/>
          <w:szCs w:val="22"/>
        </w:rPr>
        <w:t>Posible d</w:t>
      </w:r>
      <w:r w:rsidR="0038620A" w:rsidRPr="001F44F4">
        <w:rPr>
          <w:sz w:val="22"/>
          <w:szCs w:val="22"/>
        </w:rPr>
        <w:t xml:space="preserve">esfinanciamiento </w:t>
      </w:r>
      <w:r w:rsidRPr="001F44F4">
        <w:rPr>
          <w:sz w:val="22"/>
          <w:szCs w:val="22"/>
        </w:rPr>
        <w:t>para próximos empréstitos y proyectos.</w:t>
      </w:r>
    </w:p>
    <w:p w14:paraId="06DED010" w14:textId="4F8F4CA3" w:rsidR="00D616F3" w:rsidRPr="00795E25" w:rsidRDefault="00D616F3" w:rsidP="00824FCD">
      <w:pPr>
        <w:pStyle w:val="Prrafodelista"/>
        <w:jc w:val="both"/>
        <w:rPr>
          <w:sz w:val="22"/>
          <w:szCs w:val="22"/>
        </w:rPr>
      </w:pPr>
    </w:p>
    <w:p w14:paraId="4CE981B9" w14:textId="77777777" w:rsidR="009B1587" w:rsidRDefault="009B1587">
      <w:pPr>
        <w:spacing w:after="160" w:line="259" w:lineRule="auto"/>
        <w:rPr>
          <w:b/>
          <w:color w:val="385623" w:themeColor="accent6" w:themeShade="80"/>
          <w:sz w:val="22"/>
          <w:szCs w:val="22"/>
        </w:rPr>
      </w:pPr>
      <w:r>
        <w:rPr>
          <w:b/>
          <w:color w:val="385623" w:themeColor="accent6" w:themeShade="80"/>
          <w:sz w:val="22"/>
          <w:szCs w:val="22"/>
        </w:rPr>
        <w:br w:type="page"/>
      </w:r>
    </w:p>
    <w:p w14:paraId="1FB647ED" w14:textId="5E6E6A1B" w:rsidR="00A31D47" w:rsidRPr="00795E25" w:rsidRDefault="00D616F3" w:rsidP="00A31D47">
      <w:pPr>
        <w:rPr>
          <w:b/>
          <w:color w:val="385623" w:themeColor="accent6" w:themeShade="80"/>
          <w:sz w:val="22"/>
          <w:szCs w:val="22"/>
        </w:rPr>
      </w:pPr>
      <w:r w:rsidRPr="00795E25">
        <w:rPr>
          <w:b/>
          <w:color w:val="385623" w:themeColor="accent6" w:themeShade="80"/>
          <w:sz w:val="22"/>
          <w:szCs w:val="22"/>
        </w:rPr>
        <w:lastRenderedPageBreak/>
        <w:t>Recomendación</w:t>
      </w:r>
    </w:p>
    <w:p w14:paraId="5A4295BE" w14:textId="77777777" w:rsidR="00031179" w:rsidRPr="00646FE9" w:rsidRDefault="00A31D47" w:rsidP="001F44F4">
      <w:pPr>
        <w:pStyle w:val="Prrafodelista"/>
        <w:numPr>
          <w:ilvl w:val="0"/>
          <w:numId w:val="61"/>
        </w:numPr>
        <w:ind w:left="284" w:hanging="284"/>
        <w:jc w:val="both"/>
        <w:rPr>
          <w:sz w:val="22"/>
          <w:szCs w:val="22"/>
        </w:rPr>
      </w:pPr>
      <w:r w:rsidRPr="00646FE9">
        <w:rPr>
          <w:sz w:val="22"/>
          <w:szCs w:val="22"/>
        </w:rPr>
        <w:t xml:space="preserve">En línea con lo que recomienda la calificadora es necesario analizar la posible mejora en la calidad crediticia ligada a la fortaleza de ingresos propios que fortalezcan un nivel de liquidez más robusto. </w:t>
      </w:r>
      <w:r w:rsidR="0038620A" w:rsidRPr="00646FE9">
        <w:rPr>
          <w:sz w:val="22"/>
          <w:szCs w:val="22"/>
        </w:rPr>
        <w:t xml:space="preserve"> </w:t>
      </w:r>
      <w:r w:rsidRPr="00646FE9">
        <w:rPr>
          <w:sz w:val="22"/>
          <w:szCs w:val="22"/>
        </w:rPr>
        <w:t>Adicionalmente, también debe evaluarse por el lado de los gastos que estrategias pueden implementarse</w:t>
      </w:r>
      <w:r w:rsidR="00A81B0E" w:rsidRPr="00646FE9">
        <w:rPr>
          <w:sz w:val="22"/>
          <w:szCs w:val="22"/>
        </w:rPr>
        <w:t xml:space="preserve">. </w:t>
      </w:r>
    </w:p>
    <w:p w14:paraId="30C5EB19" w14:textId="77777777" w:rsidR="00A81B0E" w:rsidRPr="00A81B0E" w:rsidRDefault="00A81B0E" w:rsidP="001F44F4">
      <w:pPr>
        <w:ind w:left="284" w:hanging="284"/>
        <w:jc w:val="both"/>
        <w:rPr>
          <w:b/>
          <w:i/>
          <w:color w:val="385623" w:themeColor="accent6" w:themeShade="80"/>
          <w:sz w:val="22"/>
        </w:rPr>
      </w:pPr>
    </w:p>
    <w:p w14:paraId="5275317B" w14:textId="24FBB773" w:rsidR="00FE3FA5" w:rsidRPr="00646FE9" w:rsidRDefault="00AA546F" w:rsidP="001F44F4">
      <w:pPr>
        <w:pStyle w:val="Prrafodelista"/>
        <w:numPr>
          <w:ilvl w:val="0"/>
          <w:numId w:val="61"/>
        </w:numPr>
        <w:ind w:left="284" w:hanging="284"/>
        <w:jc w:val="both"/>
        <w:rPr>
          <w:sz w:val="22"/>
          <w:szCs w:val="22"/>
        </w:rPr>
      </w:pPr>
      <w:r w:rsidRPr="00646FE9">
        <w:rPr>
          <w:sz w:val="22"/>
          <w:szCs w:val="22"/>
        </w:rPr>
        <w:t xml:space="preserve">Recomendamos considerar el uso de </w:t>
      </w:r>
      <w:r w:rsidR="0038620A" w:rsidRPr="00646FE9">
        <w:rPr>
          <w:sz w:val="22"/>
          <w:szCs w:val="22"/>
        </w:rPr>
        <w:t>la línea de crédito para cofinanciar la construcción del proyecto, pero no en el monto previsto</w:t>
      </w:r>
      <w:r w:rsidR="00FA7C35" w:rsidRPr="00646FE9">
        <w:rPr>
          <w:sz w:val="22"/>
          <w:szCs w:val="22"/>
        </w:rPr>
        <w:t>.</w:t>
      </w:r>
    </w:p>
    <w:p w14:paraId="0A11EC2F" w14:textId="77777777" w:rsidR="009A58B6" w:rsidRDefault="009A58B6" w:rsidP="001F44F4">
      <w:pPr>
        <w:ind w:left="284" w:hanging="284"/>
        <w:jc w:val="both"/>
        <w:rPr>
          <w:sz w:val="22"/>
          <w:szCs w:val="22"/>
        </w:rPr>
      </w:pPr>
    </w:p>
    <w:p w14:paraId="26285FF0" w14:textId="44263D7E" w:rsidR="009A58B6" w:rsidRPr="00646FE9" w:rsidRDefault="009A58B6" w:rsidP="001F44F4">
      <w:pPr>
        <w:pStyle w:val="Prrafodelista"/>
        <w:numPr>
          <w:ilvl w:val="0"/>
          <w:numId w:val="61"/>
        </w:numPr>
        <w:ind w:left="284" w:hanging="284"/>
        <w:jc w:val="both"/>
        <w:rPr>
          <w:sz w:val="22"/>
          <w:szCs w:val="22"/>
        </w:rPr>
      </w:pPr>
      <w:r w:rsidRPr="00646FE9">
        <w:rPr>
          <w:sz w:val="22"/>
          <w:szCs w:val="22"/>
        </w:rPr>
        <w:t>Se requiere recalcular el nivel de endeudamiento adecuado, en consideración con el flujo de caja y las limitaciones financieras.</w:t>
      </w:r>
    </w:p>
    <w:p w14:paraId="10C02567" w14:textId="77777777" w:rsidR="009B1587" w:rsidRDefault="009B1587" w:rsidP="009B1587">
      <w:pPr>
        <w:rPr>
          <w:b/>
          <w:color w:val="385623" w:themeColor="accent6" w:themeShade="80"/>
          <w:sz w:val="22"/>
        </w:rPr>
      </w:pPr>
    </w:p>
    <w:p w14:paraId="3F5E003D" w14:textId="03F2B2C0" w:rsidR="009B1587" w:rsidRPr="009B1587" w:rsidRDefault="009B1587" w:rsidP="009B1587">
      <w:pPr>
        <w:rPr>
          <w:bCs/>
          <w:sz w:val="22"/>
          <w:szCs w:val="22"/>
        </w:rPr>
      </w:pPr>
      <w:r w:rsidRPr="009B1587">
        <w:rPr>
          <w:b/>
          <w:color w:val="385623" w:themeColor="accent6" w:themeShade="80"/>
          <w:sz w:val="22"/>
        </w:rPr>
        <w:t xml:space="preserve">Comentarios Administración </w:t>
      </w:r>
    </w:p>
    <w:p w14:paraId="143C0785" w14:textId="77777777" w:rsidR="009B1587" w:rsidRPr="009B1587" w:rsidRDefault="009B1587" w:rsidP="009B1587">
      <w:pPr>
        <w:jc w:val="both"/>
        <w:rPr>
          <w:bCs/>
          <w:sz w:val="22"/>
          <w:szCs w:val="22"/>
        </w:rPr>
      </w:pPr>
      <w:r w:rsidRPr="009B1587">
        <w:rPr>
          <w:bCs/>
          <w:sz w:val="22"/>
          <w:szCs w:val="22"/>
        </w:rPr>
        <w:t xml:space="preserve">De </w:t>
      </w:r>
      <w:r w:rsidRPr="009B1587">
        <w:rPr>
          <w:sz w:val="22"/>
        </w:rPr>
        <w:t>acuerdo</w:t>
      </w:r>
      <w:r w:rsidRPr="009B1587">
        <w:rPr>
          <w:bCs/>
          <w:sz w:val="22"/>
          <w:szCs w:val="22"/>
        </w:rPr>
        <w:t xml:space="preserve"> con la recomendación</w:t>
      </w:r>
    </w:p>
    <w:p w14:paraId="58C07019" w14:textId="034675FD" w:rsidR="00FE3FA5" w:rsidRDefault="00FE3FA5" w:rsidP="00824FCD">
      <w:pPr>
        <w:jc w:val="both"/>
        <w:rPr>
          <w:sz w:val="22"/>
          <w:szCs w:val="22"/>
        </w:rPr>
      </w:pPr>
    </w:p>
    <w:p w14:paraId="2A2AA776" w14:textId="77777777" w:rsidR="00FD0F65" w:rsidRPr="00646FE9" w:rsidRDefault="00FD0F65" w:rsidP="00646FE9">
      <w:pPr>
        <w:jc w:val="both"/>
        <w:rPr>
          <w:sz w:val="22"/>
          <w:szCs w:val="22"/>
        </w:rPr>
      </w:pPr>
    </w:p>
    <w:p w14:paraId="3D1ABFB1" w14:textId="54E78A71" w:rsidR="003305BD" w:rsidRPr="001F44F4" w:rsidRDefault="003305BD" w:rsidP="003A7278">
      <w:pPr>
        <w:pStyle w:val="Ttulo4"/>
        <w:numPr>
          <w:ilvl w:val="2"/>
          <w:numId w:val="82"/>
        </w:numPr>
        <w:rPr>
          <w:rFonts w:ascii="Times New Roman" w:hAnsi="Times New Roman" w:cs="Times New Roman"/>
          <w:b/>
          <w:color w:val="385623" w:themeColor="accent6" w:themeShade="80"/>
          <w:sz w:val="22"/>
        </w:rPr>
      </w:pPr>
      <w:r w:rsidRPr="001F44F4">
        <w:rPr>
          <w:rFonts w:ascii="Times New Roman" w:hAnsi="Times New Roman" w:cs="Times New Roman"/>
          <w:b/>
          <w:color w:val="385623" w:themeColor="accent6" w:themeShade="80"/>
          <w:sz w:val="22"/>
        </w:rPr>
        <w:t xml:space="preserve">Ejecución financiera de </w:t>
      </w:r>
      <w:r w:rsidR="00FF1F63" w:rsidRPr="001F44F4">
        <w:rPr>
          <w:rFonts w:ascii="Times New Roman" w:hAnsi="Times New Roman" w:cs="Times New Roman"/>
          <w:b/>
          <w:color w:val="385623" w:themeColor="accent6" w:themeShade="80"/>
          <w:sz w:val="22"/>
        </w:rPr>
        <w:t xml:space="preserve">los </w:t>
      </w:r>
      <w:r w:rsidRPr="001F44F4">
        <w:rPr>
          <w:rFonts w:ascii="Times New Roman" w:hAnsi="Times New Roman" w:cs="Times New Roman"/>
          <w:b/>
          <w:color w:val="385623" w:themeColor="accent6" w:themeShade="80"/>
          <w:sz w:val="22"/>
        </w:rPr>
        <w:t>contratos relacionados</w:t>
      </w:r>
    </w:p>
    <w:p w14:paraId="4638BD12" w14:textId="77777777" w:rsidR="003305BD" w:rsidRPr="00DA3633" w:rsidRDefault="003305BD" w:rsidP="003305BD">
      <w:pPr>
        <w:pStyle w:val="Prrafodelista"/>
        <w:ind w:left="284"/>
        <w:rPr>
          <w:b/>
          <w:sz w:val="12"/>
          <w:u w:val="single"/>
        </w:rPr>
      </w:pPr>
    </w:p>
    <w:p w14:paraId="09BA383B" w14:textId="60D8D734" w:rsidR="003305BD" w:rsidRPr="00646FE9" w:rsidRDefault="003305BD" w:rsidP="003A7278">
      <w:pPr>
        <w:pStyle w:val="Prrafodelista"/>
        <w:ind w:left="284"/>
        <w:jc w:val="both"/>
        <w:rPr>
          <w:sz w:val="22"/>
        </w:rPr>
      </w:pPr>
      <w:r w:rsidRPr="00646FE9">
        <w:rPr>
          <w:sz w:val="22"/>
        </w:rPr>
        <w:t>De acuerdo con el sistema SAP</w:t>
      </w:r>
      <w:r w:rsidR="00825548" w:rsidRPr="00646FE9">
        <w:rPr>
          <w:sz w:val="22"/>
        </w:rPr>
        <w:t xml:space="preserve"> y el sistema SIPE c</w:t>
      </w:r>
      <w:r w:rsidR="008237AF" w:rsidRPr="00646FE9">
        <w:rPr>
          <w:sz w:val="22"/>
        </w:rPr>
        <w:t xml:space="preserve">on corte </w:t>
      </w:r>
      <w:r w:rsidR="00A81B0E" w:rsidRPr="00646FE9">
        <w:rPr>
          <w:sz w:val="22"/>
        </w:rPr>
        <w:t>a</w:t>
      </w:r>
      <w:r w:rsidR="00CF2FFE" w:rsidRPr="00646FE9">
        <w:rPr>
          <w:sz w:val="22"/>
        </w:rPr>
        <w:t xml:space="preserve">l 30 de </w:t>
      </w:r>
      <w:r w:rsidR="008237AF" w:rsidRPr="00646FE9">
        <w:rPr>
          <w:sz w:val="22"/>
        </w:rPr>
        <w:t>junio</w:t>
      </w:r>
      <w:r w:rsidR="00A81B0E" w:rsidRPr="00646FE9">
        <w:rPr>
          <w:sz w:val="22"/>
        </w:rPr>
        <w:t xml:space="preserve"> de 2018</w:t>
      </w:r>
      <w:r w:rsidR="008237AF" w:rsidRPr="00646FE9">
        <w:rPr>
          <w:sz w:val="22"/>
        </w:rPr>
        <w:t xml:space="preserve">, </w:t>
      </w:r>
      <w:r w:rsidR="003A7278" w:rsidRPr="00646FE9">
        <w:rPr>
          <w:sz w:val="22"/>
        </w:rPr>
        <w:t>las ejecuciones de los contratos relacionados con el proyecto ascienden</w:t>
      </w:r>
      <w:r w:rsidR="003B7119" w:rsidRPr="00646FE9">
        <w:rPr>
          <w:sz w:val="22"/>
        </w:rPr>
        <w:t xml:space="preserve"> a $1.647.787.374, así:</w:t>
      </w:r>
    </w:p>
    <w:p w14:paraId="2656835E" w14:textId="028B1949" w:rsidR="00CF2FFE" w:rsidRDefault="00CF2FFE" w:rsidP="003305BD">
      <w:pPr>
        <w:pStyle w:val="Prrafodelista"/>
        <w:ind w:left="284"/>
      </w:pPr>
    </w:p>
    <w:tbl>
      <w:tblPr>
        <w:tblStyle w:val="Tablaconcuadrcula"/>
        <w:tblW w:w="10064" w:type="dxa"/>
        <w:jc w:val="center"/>
        <w:tblLook w:val="04A0" w:firstRow="1" w:lastRow="0" w:firstColumn="1" w:lastColumn="0" w:noHBand="0" w:noVBand="1"/>
      </w:tblPr>
      <w:tblGrid>
        <w:gridCol w:w="1820"/>
        <w:gridCol w:w="1615"/>
        <w:gridCol w:w="1331"/>
        <w:gridCol w:w="1341"/>
        <w:gridCol w:w="1543"/>
        <w:gridCol w:w="1504"/>
        <w:gridCol w:w="910"/>
      </w:tblGrid>
      <w:tr w:rsidR="00287145" w:rsidRPr="002C1713" w14:paraId="14B34AC0" w14:textId="6167507F" w:rsidTr="001F44F4">
        <w:trPr>
          <w:jc w:val="center"/>
        </w:trPr>
        <w:tc>
          <w:tcPr>
            <w:tcW w:w="1820" w:type="dxa"/>
            <w:tcBorders>
              <w:bottom w:val="single" w:sz="4" w:space="0" w:color="auto"/>
            </w:tcBorders>
            <w:vAlign w:val="center"/>
          </w:tcPr>
          <w:p w14:paraId="0943CAE2" w14:textId="77777777" w:rsidR="00287145" w:rsidRPr="001F44F4" w:rsidRDefault="00287145" w:rsidP="00D1032C">
            <w:pPr>
              <w:jc w:val="center"/>
              <w:rPr>
                <w:b/>
                <w:i/>
                <w:sz w:val="16"/>
              </w:rPr>
            </w:pPr>
            <w:r w:rsidRPr="001F44F4">
              <w:rPr>
                <w:b/>
                <w:i/>
                <w:sz w:val="16"/>
              </w:rPr>
              <w:t>Tercero</w:t>
            </w:r>
          </w:p>
        </w:tc>
        <w:tc>
          <w:tcPr>
            <w:tcW w:w="1615" w:type="dxa"/>
            <w:tcBorders>
              <w:bottom w:val="single" w:sz="4" w:space="0" w:color="auto"/>
            </w:tcBorders>
            <w:vAlign w:val="center"/>
          </w:tcPr>
          <w:p w14:paraId="08CAF634" w14:textId="77777777" w:rsidR="00287145" w:rsidRPr="001F44F4" w:rsidRDefault="00287145" w:rsidP="00D1032C">
            <w:pPr>
              <w:jc w:val="center"/>
              <w:rPr>
                <w:b/>
                <w:i/>
                <w:sz w:val="16"/>
              </w:rPr>
            </w:pPr>
            <w:r w:rsidRPr="001F44F4">
              <w:rPr>
                <w:b/>
                <w:i/>
                <w:sz w:val="16"/>
              </w:rPr>
              <w:t>Centro de costos</w:t>
            </w:r>
          </w:p>
        </w:tc>
        <w:tc>
          <w:tcPr>
            <w:tcW w:w="1331" w:type="dxa"/>
            <w:tcBorders>
              <w:bottom w:val="single" w:sz="4" w:space="0" w:color="auto"/>
            </w:tcBorders>
            <w:vAlign w:val="center"/>
          </w:tcPr>
          <w:p w14:paraId="6D53E1E9" w14:textId="447D4AEA" w:rsidR="00287145" w:rsidRPr="001F44F4" w:rsidRDefault="00287145" w:rsidP="00D1032C">
            <w:pPr>
              <w:jc w:val="center"/>
              <w:rPr>
                <w:b/>
                <w:i/>
                <w:sz w:val="16"/>
              </w:rPr>
            </w:pPr>
            <w:r w:rsidRPr="001F44F4">
              <w:rPr>
                <w:b/>
                <w:i/>
                <w:sz w:val="16"/>
              </w:rPr>
              <w:t xml:space="preserve">Pagos </w:t>
            </w:r>
            <w:r w:rsidR="002C1713" w:rsidRPr="001F44F4">
              <w:rPr>
                <w:b/>
                <w:i/>
                <w:sz w:val="16"/>
              </w:rPr>
              <w:t xml:space="preserve">a </w:t>
            </w:r>
            <w:r w:rsidRPr="001F44F4">
              <w:rPr>
                <w:b/>
                <w:i/>
                <w:sz w:val="16"/>
              </w:rPr>
              <w:t>diciembre 2017</w:t>
            </w:r>
          </w:p>
        </w:tc>
        <w:tc>
          <w:tcPr>
            <w:tcW w:w="1341" w:type="dxa"/>
            <w:tcBorders>
              <w:bottom w:val="single" w:sz="4" w:space="0" w:color="auto"/>
            </w:tcBorders>
            <w:vAlign w:val="center"/>
          </w:tcPr>
          <w:p w14:paraId="4B770983" w14:textId="77777777" w:rsidR="002C1713" w:rsidRPr="001F44F4" w:rsidRDefault="00287145" w:rsidP="00D1032C">
            <w:pPr>
              <w:jc w:val="center"/>
              <w:rPr>
                <w:b/>
                <w:i/>
                <w:sz w:val="16"/>
              </w:rPr>
            </w:pPr>
            <w:r w:rsidRPr="001F44F4">
              <w:rPr>
                <w:b/>
                <w:i/>
                <w:sz w:val="16"/>
              </w:rPr>
              <w:t xml:space="preserve">Pagos a </w:t>
            </w:r>
          </w:p>
          <w:p w14:paraId="29A7B81B" w14:textId="5B4B599B" w:rsidR="00287145" w:rsidRPr="001F44F4" w:rsidRDefault="002C1713" w:rsidP="00D1032C">
            <w:pPr>
              <w:jc w:val="center"/>
              <w:rPr>
                <w:b/>
                <w:i/>
                <w:sz w:val="16"/>
              </w:rPr>
            </w:pPr>
            <w:r w:rsidRPr="001F44F4">
              <w:rPr>
                <w:b/>
                <w:i/>
                <w:sz w:val="16"/>
              </w:rPr>
              <w:t>j</w:t>
            </w:r>
            <w:r w:rsidR="00287145" w:rsidRPr="001F44F4">
              <w:rPr>
                <w:b/>
                <w:i/>
                <w:sz w:val="16"/>
              </w:rPr>
              <w:t>unio 2018</w:t>
            </w:r>
          </w:p>
        </w:tc>
        <w:tc>
          <w:tcPr>
            <w:tcW w:w="1543" w:type="dxa"/>
            <w:tcBorders>
              <w:bottom w:val="single" w:sz="4" w:space="0" w:color="auto"/>
            </w:tcBorders>
            <w:vAlign w:val="center"/>
          </w:tcPr>
          <w:p w14:paraId="7A832870" w14:textId="0AB4D3CA" w:rsidR="00287145" w:rsidRPr="001F44F4" w:rsidRDefault="00287145" w:rsidP="00D1032C">
            <w:pPr>
              <w:jc w:val="center"/>
              <w:rPr>
                <w:b/>
                <w:i/>
                <w:sz w:val="16"/>
              </w:rPr>
            </w:pPr>
            <w:r w:rsidRPr="001F44F4">
              <w:rPr>
                <w:b/>
                <w:i/>
                <w:sz w:val="16"/>
              </w:rPr>
              <w:t>Total pagado</w:t>
            </w:r>
          </w:p>
        </w:tc>
        <w:tc>
          <w:tcPr>
            <w:tcW w:w="1504" w:type="dxa"/>
            <w:tcBorders>
              <w:bottom w:val="single" w:sz="4" w:space="0" w:color="auto"/>
            </w:tcBorders>
            <w:vAlign w:val="center"/>
          </w:tcPr>
          <w:p w14:paraId="7D1F709B" w14:textId="39210CEA" w:rsidR="00287145" w:rsidRPr="001F44F4" w:rsidRDefault="00287145" w:rsidP="00D1032C">
            <w:pPr>
              <w:jc w:val="center"/>
              <w:rPr>
                <w:b/>
                <w:i/>
                <w:sz w:val="16"/>
              </w:rPr>
            </w:pPr>
            <w:r w:rsidRPr="001F44F4">
              <w:rPr>
                <w:b/>
                <w:i/>
                <w:sz w:val="16"/>
              </w:rPr>
              <w:t>Valor del contrato</w:t>
            </w:r>
          </w:p>
        </w:tc>
        <w:tc>
          <w:tcPr>
            <w:tcW w:w="910" w:type="dxa"/>
            <w:tcBorders>
              <w:bottom w:val="single" w:sz="4" w:space="0" w:color="auto"/>
            </w:tcBorders>
            <w:vAlign w:val="center"/>
          </w:tcPr>
          <w:p w14:paraId="5387F87E" w14:textId="07BD1D73" w:rsidR="00287145" w:rsidRPr="001F44F4" w:rsidRDefault="00287145" w:rsidP="00D1032C">
            <w:pPr>
              <w:jc w:val="center"/>
              <w:rPr>
                <w:b/>
                <w:i/>
                <w:sz w:val="16"/>
              </w:rPr>
            </w:pPr>
            <w:r w:rsidRPr="001F44F4">
              <w:rPr>
                <w:b/>
                <w:i/>
                <w:sz w:val="16"/>
              </w:rPr>
              <w:t>% ejecución financiera</w:t>
            </w:r>
          </w:p>
        </w:tc>
      </w:tr>
      <w:tr w:rsidR="00287145" w:rsidRPr="00646FE9" w14:paraId="4BFD9896" w14:textId="2254EA3E" w:rsidTr="001F44F4">
        <w:trPr>
          <w:trHeight w:val="564"/>
          <w:jc w:val="center"/>
        </w:trPr>
        <w:tc>
          <w:tcPr>
            <w:tcW w:w="1820" w:type="dxa"/>
            <w:shd w:val="clear" w:color="auto" w:fill="auto"/>
            <w:vAlign w:val="center"/>
          </w:tcPr>
          <w:p w14:paraId="3D47572E" w14:textId="77777777" w:rsidR="00287145" w:rsidRPr="00646FE9" w:rsidRDefault="00287145" w:rsidP="00043DFF">
            <w:pPr>
              <w:rPr>
                <w:sz w:val="18"/>
                <w:u w:val="single"/>
              </w:rPr>
            </w:pPr>
            <w:r w:rsidRPr="00646FE9">
              <w:rPr>
                <w:sz w:val="18"/>
                <w:u w:val="single"/>
              </w:rPr>
              <w:t>Dirección General:</w:t>
            </w:r>
          </w:p>
          <w:p w14:paraId="74E858B9" w14:textId="77777777" w:rsidR="00287145" w:rsidRPr="00646FE9" w:rsidRDefault="00287145" w:rsidP="00043DFF">
            <w:pPr>
              <w:rPr>
                <w:sz w:val="18"/>
                <w:u w:val="single"/>
              </w:rPr>
            </w:pPr>
            <w:r w:rsidRPr="00646FE9">
              <w:rPr>
                <w:sz w:val="18"/>
              </w:rPr>
              <w:t>Ángela María Arango Rave</w:t>
            </w:r>
          </w:p>
        </w:tc>
        <w:tc>
          <w:tcPr>
            <w:tcW w:w="1615" w:type="dxa"/>
            <w:shd w:val="clear" w:color="auto" w:fill="auto"/>
            <w:vAlign w:val="center"/>
          </w:tcPr>
          <w:p w14:paraId="10A0A952" w14:textId="77777777" w:rsidR="00287145" w:rsidRPr="00646FE9" w:rsidRDefault="00287145" w:rsidP="00043DFF">
            <w:pPr>
              <w:rPr>
                <w:sz w:val="18"/>
              </w:rPr>
            </w:pPr>
            <w:r w:rsidRPr="00646FE9">
              <w:rPr>
                <w:sz w:val="18"/>
              </w:rPr>
              <w:t>10410037-Complejo de la salud</w:t>
            </w:r>
          </w:p>
        </w:tc>
        <w:tc>
          <w:tcPr>
            <w:tcW w:w="1331" w:type="dxa"/>
            <w:shd w:val="clear" w:color="auto" w:fill="auto"/>
            <w:vAlign w:val="center"/>
          </w:tcPr>
          <w:p w14:paraId="7E8C68DB" w14:textId="5A0E1EE7" w:rsidR="00287145" w:rsidRPr="00043DFF" w:rsidRDefault="00287145" w:rsidP="00646FE9">
            <w:pPr>
              <w:jc w:val="right"/>
              <w:rPr>
                <w:sz w:val="18"/>
                <w:szCs w:val="18"/>
              </w:rPr>
            </w:pPr>
            <w:r w:rsidRPr="00043DFF">
              <w:rPr>
                <w:sz w:val="18"/>
                <w:szCs w:val="18"/>
              </w:rPr>
              <w:t>$39.270.000</w:t>
            </w:r>
          </w:p>
        </w:tc>
        <w:tc>
          <w:tcPr>
            <w:tcW w:w="1341" w:type="dxa"/>
            <w:shd w:val="clear" w:color="auto" w:fill="auto"/>
            <w:vAlign w:val="center"/>
          </w:tcPr>
          <w:p w14:paraId="3F759602" w14:textId="15922F7B" w:rsidR="00287145" w:rsidRPr="00043DFF" w:rsidRDefault="00287145" w:rsidP="00646FE9">
            <w:pPr>
              <w:jc w:val="right"/>
              <w:rPr>
                <w:sz w:val="18"/>
                <w:szCs w:val="18"/>
              </w:rPr>
            </w:pPr>
            <w:r w:rsidRPr="00043DFF">
              <w:rPr>
                <w:sz w:val="18"/>
                <w:szCs w:val="18"/>
              </w:rPr>
              <w:t>$78.540.000</w:t>
            </w:r>
          </w:p>
        </w:tc>
        <w:tc>
          <w:tcPr>
            <w:tcW w:w="1543" w:type="dxa"/>
            <w:shd w:val="clear" w:color="auto" w:fill="auto"/>
            <w:vAlign w:val="center"/>
          </w:tcPr>
          <w:p w14:paraId="638A4ECA" w14:textId="001F1BBD" w:rsidR="00287145" w:rsidRPr="00043DFF" w:rsidRDefault="00287145" w:rsidP="00646FE9">
            <w:pPr>
              <w:jc w:val="right"/>
              <w:rPr>
                <w:sz w:val="18"/>
                <w:szCs w:val="18"/>
              </w:rPr>
            </w:pPr>
            <w:r w:rsidRPr="00043DFF">
              <w:rPr>
                <w:sz w:val="18"/>
                <w:szCs w:val="18"/>
              </w:rPr>
              <w:t>$117.810.000</w:t>
            </w:r>
          </w:p>
        </w:tc>
        <w:tc>
          <w:tcPr>
            <w:tcW w:w="1504" w:type="dxa"/>
            <w:vAlign w:val="center"/>
          </w:tcPr>
          <w:p w14:paraId="29368133" w14:textId="1DF0F3C6" w:rsidR="00287145" w:rsidRPr="00043DFF" w:rsidRDefault="00287145" w:rsidP="00646FE9">
            <w:pPr>
              <w:jc w:val="right"/>
              <w:rPr>
                <w:sz w:val="18"/>
                <w:szCs w:val="18"/>
              </w:rPr>
            </w:pPr>
            <w:r w:rsidRPr="00043DFF">
              <w:rPr>
                <w:sz w:val="18"/>
                <w:szCs w:val="18"/>
              </w:rPr>
              <w:t>$157.080.000</w:t>
            </w:r>
          </w:p>
        </w:tc>
        <w:tc>
          <w:tcPr>
            <w:tcW w:w="910" w:type="dxa"/>
            <w:vAlign w:val="center"/>
          </w:tcPr>
          <w:p w14:paraId="2EAB18A7" w14:textId="5F06B54A" w:rsidR="00287145" w:rsidRPr="00043DFF" w:rsidRDefault="00287145" w:rsidP="00646FE9">
            <w:pPr>
              <w:jc w:val="right"/>
              <w:rPr>
                <w:sz w:val="18"/>
                <w:szCs w:val="18"/>
              </w:rPr>
            </w:pPr>
            <w:r w:rsidRPr="00043DFF">
              <w:rPr>
                <w:sz w:val="18"/>
                <w:szCs w:val="18"/>
              </w:rPr>
              <w:t>75%</w:t>
            </w:r>
          </w:p>
        </w:tc>
      </w:tr>
      <w:tr w:rsidR="00287145" w:rsidRPr="00646FE9" w14:paraId="6F53F59A" w14:textId="74DD871F" w:rsidTr="001F44F4">
        <w:trPr>
          <w:trHeight w:val="633"/>
          <w:jc w:val="center"/>
        </w:trPr>
        <w:tc>
          <w:tcPr>
            <w:tcW w:w="1820" w:type="dxa"/>
            <w:shd w:val="clear" w:color="auto" w:fill="auto"/>
            <w:vAlign w:val="center"/>
          </w:tcPr>
          <w:p w14:paraId="5AD3A056" w14:textId="77777777" w:rsidR="00287145" w:rsidRPr="00646FE9" w:rsidRDefault="00287145" w:rsidP="00043DFF">
            <w:pPr>
              <w:rPr>
                <w:sz w:val="18"/>
                <w:u w:val="single"/>
              </w:rPr>
            </w:pPr>
            <w:r w:rsidRPr="00646FE9">
              <w:rPr>
                <w:sz w:val="18"/>
                <w:u w:val="single"/>
              </w:rPr>
              <w:t>Dirección técnica</w:t>
            </w:r>
          </w:p>
          <w:p w14:paraId="03BAE806" w14:textId="77777777" w:rsidR="00287145" w:rsidRPr="00646FE9" w:rsidRDefault="00287145" w:rsidP="00043DFF">
            <w:pPr>
              <w:rPr>
                <w:sz w:val="18"/>
                <w:u w:val="single"/>
              </w:rPr>
            </w:pPr>
            <w:r w:rsidRPr="00646FE9">
              <w:rPr>
                <w:sz w:val="18"/>
              </w:rPr>
              <w:t>Gloria Elena Molina Vélez</w:t>
            </w:r>
          </w:p>
        </w:tc>
        <w:tc>
          <w:tcPr>
            <w:tcW w:w="1615" w:type="dxa"/>
            <w:shd w:val="clear" w:color="auto" w:fill="auto"/>
            <w:vAlign w:val="center"/>
          </w:tcPr>
          <w:p w14:paraId="3463ED6C" w14:textId="77777777" w:rsidR="00287145" w:rsidRPr="00646FE9" w:rsidRDefault="00287145" w:rsidP="00043DFF">
            <w:pPr>
              <w:rPr>
                <w:sz w:val="18"/>
              </w:rPr>
            </w:pPr>
            <w:r w:rsidRPr="00646FE9">
              <w:rPr>
                <w:sz w:val="18"/>
              </w:rPr>
              <w:t>10610008- Puntos ecológicos</w:t>
            </w:r>
          </w:p>
        </w:tc>
        <w:tc>
          <w:tcPr>
            <w:tcW w:w="1331" w:type="dxa"/>
            <w:shd w:val="clear" w:color="auto" w:fill="auto"/>
            <w:vAlign w:val="center"/>
          </w:tcPr>
          <w:p w14:paraId="78980765" w14:textId="77777777" w:rsidR="00287145" w:rsidRPr="00043DFF" w:rsidRDefault="00287145" w:rsidP="00646FE9">
            <w:pPr>
              <w:jc w:val="right"/>
              <w:rPr>
                <w:sz w:val="18"/>
                <w:szCs w:val="18"/>
              </w:rPr>
            </w:pPr>
            <w:r w:rsidRPr="00043DFF">
              <w:rPr>
                <w:sz w:val="18"/>
                <w:szCs w:val="18"/>
              </w:rPr>
              <w:t>$172.260.000</w:t>
            </w:r>
          </w:p>
        </w:tc>
        <w:tc>
          <w:tcPr>
            <w:tcW w:w="1341" w:type="dxa"/>
            <w:shd w:val="clear" w:color="auto" w:fill="auto"/>
            <w:vAlign w:val="center"/>
          </w:tcPr>
          <w:p w14:paraId="6C652576" w14:textId="0C4C26D5" w:rsidR="00287145" w:rsidRPr="00043DFF" w:rsidRDefault="00287145" w:rsidP="00646FE9">
            <w:pPr>
              <w:jc w:val="right"/>
              <w:rPr>
                <w:sz w:val="18"/>
                <w:szCs w:val="18"/>
              </w:rPr>
            </w:pPr>
            <w:r w:rsidRPr="00043DFF">
              <w:rPr>
                <w:sz w:val="18"/>
                <w:szCs w:val="18"/>
              </w:rPr>
              <w:t>$93.960.000</w:t>
            </w:r>
          </w:p>
        </w:tc>
        <w:tc>
          <w:tcPr>
            <w:tcW w:w="1543" w:type="dxa"/>
            <w:shd w:val="clear" w:color="auto" w:fill="auto"/>
            <w:vAlign w:val="center"/>
          </w:tcPr>
          <w:p w14:paraId="47B113DE" w14:textId="708FC03B" w:rsidR="00287145" w:rsidRPr="00043DFF" w:rsidRDefault="00287145" w:rsidP="00646FE9">
            <w:pPr>
              <w:jc w:val="right"/>
              <w:rPr>
                <w:sz w:val="18"/>
                <w:szCs w:val="18"/>
              </w:rPr>
            </w:pPr>
            <w:r w:rsidRPr="00043DFF">
              <w:rPr>
                <w:sz w:val="18"/>
                <w:szCs w:val="18"/>
              </w:rPr>
              <w:t>$266.220.000</w:t>
            </w:r>
          </w:p>
        </w:tc>
        <w:tc>
          <w:tcPr>
            <w:tcW w:w="1504" w:type="dxa"/>
            <w:vAlign w:val="center"/>
          </w:tcPr>
          <w:p w14:paraId="0CF1D321" w14:textId="025999F1" w:rsidR="00287145" w:rsidRPr="00043DFF" w:rsidRDefault="00287145" w:rsidP="00646FE9">
            <w:pPr>
              <w:jc w:val="right"/>
              <w:rPr>
                <w:b/>
                <w:sz w:val="18"/>
                <w:szCs w:val="18"/>
                <w:u w:val="single"/>
              </w:rPr>
            </w:pPr>
            <w:r w:rsidRPr="00043DFF">
              <w:rPr>
                <w:sz w:val="18"/>
                <w:szCs w:val="18"/>
              </w:rPr>
              <w:t>$281.880.000</w:t>
            </w:r>
          </w:p>
        </w:tc>
        <w:tc>
          <w:tcPr>
            <w:tcW w:w="910" w:type="dxa"/>
            <w:vAlign w:val="center"/>
          </w:tcPr>
          <w:p w14:paraId="7195A2E6" w14:textId="26601EAA" w:rsidR="00287145" w:rsidRPr="00043DFF" w:rsidRDefault="00287145" w:rsidP="00646FE9">
            <w:pPr>
              <w:jc w:val="right"/>
              <w:rPr>
                <w:sz w:val="18"/>
                <w:szCs w:val="18"/>
              </w:rPr>
            </w:pPr>
            <w:r w:rsidRPr="00043DFF">
              <w:rPr>
                <w:sz w:val="18"/>
                <w:szCs w:val="18"/>
              </w:rPr>
              <w:t>94%</w:t>
            </w:r>
          </w:p>
        </w:tc>
      </w:tr>
      <w:tr w:rsidR="00287145" w:rsidRPr="00646FE9" w14:paraId="0CA8043B" w14:textId="14974E77" w:rsidTr="001F44F4">
        <w:trPr>
          <w:trHeight w:val="303"/>
          <w:jc w:val="center"/>
        </w:trPr>
        <w:tc>
          <w:tcPr>
            <w:tcW w:w="1820" w:type="dxa"/>
            <w:shd w:val="clear" w:color="auto" w:fill="auto"/>
            <w:vAlign w:val="center"/>
          </w:tcPr>
          <w:p w14:paraId="0301F981" w14:textId="77777777" w:rsidR="00287145" w:rsidRPr="00646FE9" w:rsidRDefault="00287145" w:rsidP="00043DFF">
            <w:pPr>
              <w:rPr>
                <w:sz w:val="18"/>
              </w:rPr>
            </w:pPr>
            <w:r w:rsidRPr="00646FE9">
              <w:rPr>
                <w:sz w:val="18"/>
                <w:u w:val="single"/>
              </w:rPr>
              <w:t>Dirección Académica</w:t>
            </w:r>
          </w:p>
          <w:p w14:paraId="7DCD7458" w14:textId="77777777" w:rsidR="00287145" w:rsidRPr="00646FE9" w:rsidRDefault="00287145" w:rsidP="00043DFF">
            <w:pPr>
              <w:rPr>
                <w:sz w:val="18"/>
              </w:rPr>
            </w:pPr>
            <w:r w:rsidRPr="00646FE9">
              <w:rPr>
                <w:sz w:val="18"/>
              </w:rPr>
              <w:t>Cruzana Echeverry Restrepo</w:t>
            </w:r>
          </w:p>
        </w:tc>
        <w:tc>
          <w:tcPr>
            <w:tcW w:w="1615" w:type="dxa"/>
            <w:shd w:val="clear" w:color="auto" w:fill="auto"/>
            <w:vAlign w:val="center"/>
          </w:tcPr>
          <w:p w14:paraId="4DF553CC" w14:textId="77777777" w:rsidR="00287145" w:rsidRPr="00646FE9" w:rsidRDefault="00287145" w:rsidP="00043DFF">
            <w:pPr>
              <w:rPr>
                <w:sz w:val="18"/>
              </w:rPr>
            </w:pPr>
            <w:r w:rsidRPr="00646FE9">
              <w:rPr>
                <w:sz w:val="18"/>
              </w:rPr>
              <w:t>20160001-Vicerrectoria Docencia</w:t>
            </w:r>
          </w:p>
        </w:tc>
        <w:tc>
          <w:tcPr>
            <w:tcW w:w="1331" w:type="dxa"/>
            <w:shd w:val="clear" w:color="auto" w:fill="auto"/>
            <w:vAlign w:val="center"/>
          </w:tcPr>
          <w:p w14:paraId="579CA561" w14:textId="6091C234" w:rsidR="00287145" w:rsidRPr="00043DFF" w:rsidRDefault="00287145" w:rsidP="00646FE9">
            <w:pPr>
              <w:jc w:val="right"/>
              <w:rPr>
                <w:sz w:val="18"/>
                <w:szCs w:val="18"/>
              </w:rPr>
            </w:pPr>
            <w:r w:rsidRPr="00043DFF">
              <w:rPr>
                <w:sz w:val="18"/>
                <w:szCs w:val="18"/>
              </w:rPr>
              <w:t>-</w:t>
            </w:r>
          </w:p>
        </w:tc>
        <w:tc>
          <w:tcPr>
            <w:tcW w:w="1341" w:type="dxa"/>
            <w:shd w:val="clear" w:color="auto" w:fill="auto"/>
            <w:vAlign w:val="center"/>
          </w:tcPr>
          <w:p w14:paraId="39B68A0B" w14:textId="78C784BB" w:rsidR="00287145" w:rsidRPr="00043DFF" w:rsidRDefault="00287145" w:rsidP="00646FE9">
            <w:pPr>
              <w:jc w:val="right"/>
              <w:rPr>
                <w:sz w:val="18"/>
                <w:szCs w:val="18"/>
              </w:rPr>
            </w:pPr>
            <w:r w:rsidRPr="00043DFF">
              <w:rPr>
                <w:sz w:val="18"/>
                <w:szCs w:val="18"/>
              </w:rPr>
              <w:t>$25.726.498</w:t>
            </w:r>
          </w:p>
        </w:tc>
        <w:tc>
          <w:tcPr>
            <w:tcW w:w="1543" w:type="dxa"/>
            <w:shd w:val="clear" w:color="auto" w:fill="auto"/>
            <w:vAlign w:val="center"/>
          </w:tcPr>
          <w:p w14:paraId="123815C6" w14:textId="74B96699" w:rsidR="00287145" w:rsidRPr="00043DFF" w:rsidRDefault="002C1713" w:rsidP="00646FE9">
            <w:pPr>
              <w:jc w:val="right"/>
              <w:rPr>
                <w:sz w:val="18"/>
                <w:szCs w:val="18"/>
              </w:rPr>
            </w:pPr>
            <w:r w:rsidRPr="00043DFF">
              <w:rPr>
                <w:sz w:val="18"/>
                <w:szCs w:val="18"/>
              </w:rPr>
              <w:t>(*)</w:t>
            </w:r>
            <w:r>
              <w:rPr>
                <w:sz w:val="18"/>
                <w:szCs w:val="18"/>
              </w:rPr>
              <w:t xml:space="preserve">  </w:t>
            </w:r>
            <w:r w:rsidR="00031179" w:rsidRPr="00043DFF">
              <w:rPr>
                <w:sz w:val="18"/>
                <w:szCs w:val="18"/>
              </w:rPr>
              <w:t>$25.726.977</w:t>
            </w:r>
          </w:p>
        </w:tc>
        <w:tc>
          <w:tcPr>
            <w:tcW w:w="1504" w:type="dxa"/>
            <w:vAlign w:val="center"/>
          </w:tcPr>
          <w:p w14:paraId="311B06D7" w14:textId="0CADE641" w:rsidR="00287145" w:rsidRPr="00043DFF" w:rsidRDefault="00287145" w:rsidP="00646FE9">
            <w:pPr>
              <w:jc w:val="right"/>
              <w:rPr>
                <w:sz w:val="18"/>
                <w:szCs w:val="18"/>
              </w:rPr>
            </w:pPr>
            <w:r w:rsidRPr="00043DFF">
              <w:rPr>
                <w:sz w:val="18"/>
                <w:szCs w:val="18"/>
              </w:rPr>
              <w:t>N/A</w:t>
            </w:r>
          </w:p>
        </w:tc>
        <w:tc>
          <w:tcPr>
            <w:tcW w:w="910" w:type="dxa"/>
            <w:vAlign w:val="center"/>
          </w:tcPr>
          <w:p w14:paraId="0BA9D6EB" w14:textId="0CD37D92" w:rsidR="00287145" w:rsidRPr="00043DFF" w:rsidRDefault="00287145" w:rsidP="00646FE9">
            <w:pPr>
              <w:jc w:val="right"/>
              <w:rPr>
                <w:sz w:val="18"/>
                <w:szCs w:val="18"/>
              </w:rPr>
            </w:pPr>
            <w:r w:rsidRPr="00043DFF">
              <w:rPr>
                <w:sz w:val="18"/>
                <w:szCs w:val="18"/>
              </w:rPr>
              <w:t>N/A</w:t>
            </w:r>
          </w:p>
        </w:tc>
      </w:tr>
      <w:tr w:rsidR="00287145" w:rsidRPr="00646FE9" w14:paraId="03B9DA48" w14:textId="0DA6A4E1" w:rsidTr="001F44F4">
        <w:trPr>
          <w:jc w:val="center"/>
        </w:trPr>
        <w:tc>
          <w:tcPr>
            <w:tcW w:w="1820" w:type="dxa"/>
            <w:shd w:val="clear" w:color="auto" w:fill="auto"/>
            <w:vAlign w:val="center"/>
          </w:tcPr>
          <w:p w14:paraId="43AC3AB1" w14:textId="5761E592" w:rsidR="00287145" w:rsidRPr="00646FE9" w:rsidRDefault="00287145" w:rsidP="00043DFF">
            <w:pPr>
              <w:rPr>
                <w:color w:val="000000"/>
                <w:sz w:val="18"/>
                <w:szCs w:val="18"/>
                <w:u w:val="single"/>
              </w:rPr>
            </w:pPr>
            <w:r w:rsidRPr="00646FE9">
              <w:rPr>
                <w:sz w:val="18"/>
                <w:u w:val="single"/>
              </w:rPr>
              <w:t>L</w:t>
            </w:r>
            <w:r w:rsidR="007E49CA">
              <w:rPr>
                <w:color w:val="000000"/>
                <w:sz w:val="18"/>
                <w:szCs w:val="18"/>
                <w:u w:val="single"/>
              </w:rPr>
              <w:t>evantamiento altimé</w:t>
            </w:r>
            <w:r w:rsidRPr="00646FE9">
              <w:rPr>
                <w:color w:val="000000"/>
                <w:sz w:val="18"/>
                <w:szCs w:val="18"/>
                <w:u w:val="single"/>
              </w:rPr>
              <w:t>tr</w:t>
            </w:r>
            <w:r w:rsidR="007E49CA">
              <w:rPr>
                <w:color w:val="000000"/>
                <w:sz w:val="18"/>
                <w:szCs w:val="18"/>
                <w:u w:val="single"/>
              </w:rPr>
              <w:t>ico y planimé</w:t>
            </w:r>
            <w:r w:rsidRPr="00646FE9">
              <w:rPr>
                <w:color w:val="000000"/>
                <w:sz w:val="18"/>
                <w:szCs w:val="18"/>
                <w:u w:val="single"/>
              </w:rPr>
              <w:t>tr</w:t>
            </w:r>
            <w:r w:rsidR="007E49CA">
              <w:rPr>
                <w:color w:val="000000"/>
                <w:sz w:val="18"/>
                <w:szCs w:val="18"/>
                <w:u w:val="single"/>
              </w:rPr>
              <w:t>ic</w:t>
            </w:r>
            <w:r w:rsidRPr="00646FE9">
              <w:rPr>
                <w:color w:val="000000"/>
                <w:sz w:val="18"/>
                <w:szCs w:val="18"/>
                <w:u w:val="single"/>
              </w:rPr>
              <w:t>o del lote)</w:t>
            </w:r>
          </w:p>
          <w:p w14:paraId="24B700DC" w14:textId="71460FD6" w:rsidR="00287145" w:rsidRPr="00646FE9" w:rsidRDefault="00287145" w:rsidP="00043DFF">
            <w:pPr>
              <w:rPr>
                <w:sz w:val="18"/>
              </w:rPr>
            </w:pPr>
            <w:r w:rsidRPr="00646FE9">
              <w:rPr>
                <w:sz w:val="18"/>
              </w:rPr>
              <w:t>Arquitop</w:t>
            </w:r>
          </w:p>
        </w:tc>
        <w:tc>
          <w:tcPr>
            <w:tcW w:w="1615" w:type="dxa"/>
            <w:shd w:val="clear" w:color="auto" w:fill="auto"/>
            <w:vAlign w:val="center"/>
          </w:tcPr>
          <w:p w14:paraId="1BA8BEF5" w14:textId="77777777" w:rsidR="00287145" w:rsidRPr="00646FE9" w:rsidRDefault="00287145" w:rsidP="00043DFF">
            <w:pPr>
              <w:rPr>
                <w:sz w:val="18"/>
              </w:rPr>
            </w:pPr>
            <w:r w:rsidRPr="00646FE9">
              <w:rPr>
                <w:sz w:val="18"/>
              </w:rPr>
              <w:t>10410037- Complejo de la salud</w:t>
            </w:r>
          </w:p>
        </w:tc>
        <w:tc>
          <w:tcPr>
            <w:tcW w:w="1331" w:type="dxa"/>
            <w:shd w:val="clear" w:color="auto" w:fill="auto"/>
            <w:vAlign w:val="center"/>
          </w:tcPr>
          <w:p w14:paraId="33B277F9" w14:textId="77777777" w:rsidR="00287145" w:rsidRPr="00043DFF" w:rsidRDefault="00287145" w:rsidP="00646FE9">
            <w:pPr>
              <w:jc w:val="right"/>
              <w:rPr>
                <w:sz w:val="18"/>
                <w:szCs w:val="18"/>
              </w:rPr>
            </w:pPr>
            <w:r w:rsidRPr="00043DFF">
              <w:rPr>
                <w:sz w:val="18"/>
                <w:szCs w:val="18"/>
              </w:rPr>
              <w:t>$16.288.125</w:t>
            </w:r>
          </w:p>
        </w:tc>
        <w:tc>
          <w:tcPr>
            <w:tcW w:w="1341" w:type="dxa"/>
            <w:shd w:val="clear" w:color="auto" w:fill="auto"/>
            <w:vAlign w:val="center"/>
          </w:tcPr>
          <w:p w14:paraId="74AF7CBE" w14:textId="3743D7F6" w:rsidR="00287145" w:rsidRPr="00043DFF" w:rsidRDefault="00287145" w:rsidP="00646FE9">
            <w:pPr>
              <w:jc w:val="right"/>
              <w:rPr>
                <w:sz w:val="18"/>
                <w:szCs w:val="18"/>
              </w:rPr>
            </w:pPr>
            <w:r w:rsidRPr="00043DFF">
              <w:rPr>
                <w:sz w:val="18"/>
                <w:szCs w:val="18"/>
              </w:rPr>
              <w:t>-</w:t>
            </w:r>
          </w:p>
        </w:tc>
        <w:tc>
          <w:tcPr>
            <w:tcW w:w="1543" w:type="dxa"/>
            <w:shd w:val="clear" w:color="auto" w:fill="auto"/>
            <w:vAlign w:val="center"/>
          </w:tcPr>
          <w:p w14:paraId="10400985" w14:textId="52ED4CFE" w:rsidR="00287145" w:rsidRPr="00043DFF" w:rsidRDefault="00287145" w:rsidP="00646FE9">
            <w:pPr>
              <w:jc w:val="right"/>
              <w:rPr>
                <w:sz w:val="18"/>
                <w:szCs w:val="18"/>
              </w:rPr>
            </w:pPr>
            <w:r w:rsidRPr="00043DFF">
              <w:rPr>
                <w:sz w:val="18"/>
                <w:szCs w:val="18"/>
              </w:rPr>
              <w:t>$16.288.125</w:t>
            </w:r>
          </w:p>
        </w:tc>
        <w:tc>
          <w:tcPr>
            <w:tcW w:w="1504" w:type="dxa"/>
            <w:vAlign w:val="center"/>
          </w:tcPr>
          <w:p w14:paraId="24E1ADED" w14:textId="32368F67" w:rsidR="00287145" w:rsidRPr="00043DFF" w:rsidRDefault="00287145" w:rsidP="00646FE9">
            <w:pPr>
              <w:jc w:val="right"/>
              <w:rPr>
                <w:sz w:val="18"/>
                <w:szCs w:val="18"/>
              </w:rPr>
            </w:pPr>
            <w:r w:rsidRPr="003A7278">
              <w:rPr>
                <w:sz w:val="18"/>
                <w:szCs w:val="18"/>
              </w:rPr>
              <w:t>$16.288.125</w:t>
            </w:r>
          </w:p>
        </w:tc>
        <w:tc>
          <w:tcPr>
            <w:tcW w:w="910" w:type="dxa"/>
            <w:vAlign w:val="center"/>
          </w:tcPr>
          <w:p w14:paraId="4D10055C" w14:textId="3DAF2C6F" w:rsidR="00287145" w:rsidRPr="00043DFF" w:rsidRDefault="00287145" w:rsidP="00646FE9">
            <w:pPr>
              <w:jc w:val="right"/>
              <w:rPr>
                <w:sz w:val="18"/>
                <w:szCs w:val="18"/>
              </w:rPr>
            </w:pPr>
            <w:r w:rsidRPr="00043DFF">
              <w:rPr>
                <w:sz w:val="18"/>
                <w:szCs w:val="18"/>
              </w:rPr>
              <w:t>100%</w:t>
            </w:r>
          </w:p>
        </w:tc>
      </w:tr>
      <w:tr w:rsidR="00287145" w:rsidRPr="00646FE9" w14:paraId="756D2859" w14:textId="7AAA680B" w:rsidTr="001F44F4">
        <w:trPr>
          <w:trHeight w:val="476"/>
          <w:jc w:val="center"/>
        </w:trPr>
        <w:tc>
          <w:tcPr>
            <w:tcW w:w="1820" w:type="dxa"/>
            <w:tcBorders>
              <w:bottom w:val="single" w:sz="4" w:space="0" w:color="auto"/>
            </w:tcBorders>
            <w:shd w:val="clear" w:color="auto" w:fill="auto"/>
            <w:vAlign w:val="center"/>
          </w:tcPr>
          <w:p w14:paraId="3B0E7132" w14:textId="11EFC326" w:rsidR="00287145" w:rsidRPr="00646FE9" w:rsidRDefault="00287145" w:rsidP="00043DFF">
            <w:pPr>
              <w:rPr>
                <w:sz w:val="18"/>
                <w:u w:val="single"/>
              </w:rPr>
            </w:pPr>
            <w:r w:rsidRPr="00646FE9">
              <w:rPr>
                <w:sz w:val="18"/>
                <w:u w:val="single"/>
              </w:rPr>
              <w:t>Estudios y diseños</w:t>
            </w:r>
          </w:p>
          <w:p w14:paraId="0BF7C105" w14:textId="4CB0F0B0" w:rsidR="00287145" w:rsidRPr="00646FE9" w:rsidRDefault="00287145" w:rsidP="00043DFF">
            <w:pPr>
              <w:rPr>
                <w:sz w:val="18"/>
              </w:rPr>
            </w:pPr>
            <w:r w:rsidRPr="00646FE9">
              <w:rPr>
                <w:sz w:val="18"/>
              </w:rPr>
              <w:t>CIS- Contrato de mandato.</w:t>
            </w:r>
          </w:p>
        </w:tc>
        <w:tc>
          <w:tcPr>
            <w:tcW w:w="1615" w:type="dxa"/>
            <w:tcBorders>
              <w:bottom w:val="single" w:sz="4" w:space="0" w:color="auto"/>
            </w:tcBorders>
            <w:shd w:val="clear" w:color="auto" w:fill="auto"/>
            <w:vAlign w:val="center"/>
          </w:tcPr>
          <w:p w14:paraId="3AB48D85" w14:textId="77777777" w:rsidR="00287145" w:rsidRPr="00646FE9" w:rsidRDefault="00287145" w:rsidP="00043DFF">
            <w:pPr>
              <w:rPr>
                <w:sz w:val="18"/>
              </w:rPr>
            </w:pPr>
            <w:r w:rsidRPr="00646FE9">
              <w:rPr>
                <w:sz w:val="18"/>
              </w:rPr>
              <w:t>10410023- Estampilla UDEA</w:t>
            </w:r>
          </w:p>
        </w:tc>
        <w:tc>
          <w:tcPr>
            <w:tcW w:w="1331" w:type="dxa"/>
            <w:tcBorders>
              <w:bottom w:val="single" w:sz="4" w:space="0" w:color="auto"/>
            </w:tcBorders>
            <w:shd w:val="clear" w:color="auto" w:fill="auto"/>
            <w:vAlign w:val="center"/>
          </w:tcPr>
          <w:p w14:paraId="3BA603B4" w14:textId="77777777" w:rsidR="00287145" w:rsidRPr="00043DFF" w:rsidRDefault="00287145" w:rsidP="00646FE9">
            <w:pPr>
              <w:jc w:val="right"/>
              <w:rPr>
                <w:sz w:val="18"/>
                <w:szCs w:val="18"/>
              </w:rPr>
            </w:pPr>
          </w:p>
        </w:tc>
        <w:tc>
          <w:tcPr>
            <w:tcW w:w="1341" w:type="dxa"/>
            <w:tcBorders>
              <w:bottom w:val="single" w:sz="4" w:space="0" w:color="auto"/>
            </w:tcBorders>
            <w:shd w:val="clear" w:color="auto" w:fill="auto"/>
            <w:vAlign w:val="center"/>
          </w:tcPr>
          <w:p w14:paraId="51E98E62" w14:textId="04BB4E96" w:rsidR="00287145" w:rsidRPr="00043DFF" w:rsidRDefault="00287145" w:rsidP="00646FE9">
            <w:pPr>
              <w:jc w:val="right"/>
              <w:rPr>
                <w:sz w:val="18"/>
                <w:szCs w:val="18"/>
              </w:rPr>
            </w:pPr>
            <w:r w:rsidRPr="00043DFF">
              <w:rPr>
                <w:sz w:val="18"/>
                <w:szCs w:val="18"/>
              </w:rPr>
              <w:t>$1.167.887.141</w:t>
            </w:r>
          </w:p>
        </w:tc>
        <w:tc>
          <w:tcPr>
            <w:tcW w:w="1543" w:type="dxa"/>
            <w:tcBorders>
              <w:bottom w:val="single" w:sz="4" w:space="0" w:color="auto"/>
            </w:tcBorders>
            <w:shd w:val="clear" w:color="auto" w:fill="auto"/>
            <w:vAlign w:val="center"/>
          </w:tcPr>
          <w:p w14:paraId="04380D91" w14:textId="310FF9CD" w:rsidR="00287145" w:rsidRPr="00043DFF" w:rsidRDefault="00287145" w:rsidP="00646FE9">
            <w:pPr>
              <w:jc w:val="right"/>
              <w:rPr>
                <w:sz w:val="18"/>
                <w:szCs w:val="18"/>
              </w:rPr>
            </w:pPr>
            <w:r w:rsidRPr="00043DFF">
              <w:rPr>
                <w:sz w:val="18"/>
                <w:szCs w:val="18"/>
              </w:rPr>
              <w:t>$1.167.887.141</w:t>
            </w:r>
          </w:p>
        </w:tc>
        <w:tc>
          <w:tcPr>
            <w:tcW w:w="1504" w:type="dxa"/>
            <w:tcBorders>
              <w:bottom w:val="single" w:sz="4" w:space="0" w:color="auto"/>
            </w:tcBorders>
            <w:vAlign w:val="center"/>
          </w:tcPr>
          <w:p w14:paraId="4CD6B9BE" w14:textId="4B05A437" w:rsidR="00287145" w:rsidRPr="00043DFF" w:rsidRDefault="00287145" w:rsidP="00646FE9">
            <w:pPr>
              <w:jc w:val="right"/>
              <w:rPr>
                <w:sz w:val="18"/>
                <w:szCs w:val="18"/>
              </w:rPr>
            </w:pPr>
            <w:r w:rsidRPr="00043DFF">
              <w:rPr>
                <w:sz w:val="18"/>
                <w:szCs w:val="18"/>
              </w:rPr>
              <w:t>$6.528.233.880</w:t>
            </w:r>
          </w:p>
        </w:tc>
        <w:tc>
          <w:tcPr>
            <w:tcW w:w="910" w:type="dxa"/>
            <w:tcBorders>
              <w:bottom w:val="single" w:sz="4" w:space="0" w:color="auto"/>
            </w:tcBorders>
            <w:vAlign w:val="center"/>
          </w:tcPr>
          <w:p w14:paraId="76667517" w14:textId="75A3D868" w:rsidR="00287145" w:rsidRPr="00043DFF" w:rsidRDefault="00287145" w:rsidP="00646FE9">
            <w:pPr>
              <w:jc w:val="right"/>
              <w:rPr>
                <w:sz w:val="18"/>
                <w:szCs w:val="18"/>
              </w:rPr>
            </w:pPr>
            <w:r w:rsidRPr="00043DFF">
              <w:rPr>
                <w:sz w:val="18"/>
                <w:szCs w:val="18"/>
              </w:rPr>
              <w:t>18%</w:t>
            </w:r>
          </w:p>
        </w:tc>
      </w:tr>
      <w:tr w:rsidR="00287145" w:rsidRPr="00646FE9" w14:paraId="492DE8C2" w14:textId="53A6E060" w:rsidTr="001F44F4">
        <w:trPr>
          <w:trHeight w:val="332"/>
          <w:jc w:val="center"/>
        </w:trPr>
        <w:tc>
          <w:tcPr>
            <w:tcW w:w="1820" w:type="dxa"/>
            <w:tcBorders>
              <w:bottom w:val="single" w:sz="4" w:space="0" w:color="auto"/>
            </w:tcBorders>
            <w:shd w:val="clear" w:color="auto" w:fill="auto"/>
            <w:vAlign w:val="center"/>
          </w:tcPr>
          <w:p w14:paraId="77B1D2C4" w14:textId="77777777" w:rsidR="00287145" w:rsidRPr="00646FE9" w:rsidRDefault="00287145" w:rsidP="00043DFF">
            <w:pPr>
              <w:rPr>
                <w:sz w:val="18"/>
                <w:u w:val="single"/>
              </w:rPr>
            </w:pPr>
            <w:r w:rsidRPr="00646FE9">
              <w:rPr>
                <w:sz w:val="18"/>
                <w:u w:val="single"/>
              </w:rPr>
              <w:t>Interventora</w:t>
            </w:r>
          </w:p>
          <w:p w14:paraId="7BEFB3E4" w14:textId="77777777" w:rsidR="00287145" w:rsidRPr="00646FE9" w:rsidRDefault="00287145" w:rsidP="00043DFF">
            <w:pPr>
              <w:rPr>
                <w:sz w:val="18"/>
              </w:rPr>
            </w:pPr>
            <w:r w:rsidRPr="00646FE9">
              <w:rPr>
                <w:sz w:val="18"/>
              </w:rPr>
              <w:t xml:space="preserve">Ana María Gutiérrez </w:t>
            </w:r>
          </w:p>
        </w:tc>
        <w:tc>
          <w:tcPr>
            <w:tcW w:w="1615" w:type="dxa"/>
            <w:tcBorders>
              <w:bottom w:val="single" w:sz="4" w:space="0" w:color="auto"/>
            </w:tcBorders>
            <w:shd w:val="clear" w:color="auto" w:fill="auto"/>
            <w:vAlign w:val="center"/>
          </w:tcPr>
          <w:p w14:paraId="35D53A6C" w14:textId="77777777" w:rsidR="00287145" w:rsidRPr="00646FE9" w:rsidRDefault="00287145" w:rsidP="00043DFF">
            <w:pPr>
              <w:rPr>
                <w:sz w:val="18"/>
              </w:rPr>
            </w:pPr>
            <w:r w:rsidRPr="00646FE9">
              <w:rPr>
                <w:sz w:val="18"/>
              </w:rPr>
              <w:t>10410037- Complejo de la salud</w:t>
            </w:r>
          </w:p>
        </w:tc>
        <w:tc>
          <w:tcPr>
            <w:tcW w:w="1331" w:type="dxa"/>
            <w:tcBorders>
              <w:bottom w:val="single" w:sz="4" w:space="0" w:color="auto"/>
            </w:tcBorders>
            <w:shd w:val="clear" w:color="auto" w:fill="auto"/>
            <w:vAlign w:val="center"/>
          </w:tcPr>
          <w:p w14:paraId="502F202B" w14:textId="52E0042D" w:rsidR="00287145" w:rsidRPr="00043DFF" w:rsidRDefault="00287145" w:rsidP="00646FE9">
            <w:pPr>
              <w:jc w:val="right"/>
              <w:rPr>
                <w:sz w:val="18"/>
                <w:szCs w:val="18"/>
              </w:rPr>
            </w:pPr>
            <w:r w:rsidRPr="00043DFF">
              <w:rPr>
                <w:sz w:val="18"/>
                <w:szCs w:val="18"/>
              </w:rPr>
              <w:t>$12.486.100</w:t>
            </w:r>
          </w:p>
        </w:tc>
        <w:tc>
          <w:tcPr>
            <w:tcW w:w="1341" w:type="dxa"/>
            <w:tcBorders>
              <w:bottom w:val="single" w:sz="4" w:space="0" w:color="auto"/>
            </w:tcBorders>
            <w:shd w:val="clear" w:color="auto" w:fill="auto"/>
            <w:vAlign w:val="center"/>
          </w:tcPr>
          <w:p w14:paraId="3E73B824" w14:textId="4F1BD772" w:rsidR="00287145" w:rsidRPr="00043DFF" w:rsidRDefault="00287145" w:rsidP="00646FE9">
            <w:pPr>
              <w:jc w:val="right"/>
              <w:rPr>
                <w:sz w:val="18"/>
                <w:szCs w:val="18"/>
              </w:rPr>
            </w:pPr>
            <w:r w:rsidRPr="00043DFF">
              <w:rPr>
                <w:sz w:val="18"/>
                <w:szCs w:val="18"/>
              </w:rPr>
              <w:t>$41.369.510</w:t>
            </w:r>
          </w:p>
        </w:tc>
        <w:tc>
          <w:tcPr>
            <w:tcW w:w="1543" w:type="dxa"/>
            <w:tcBorders>
              <w:bottom w:val="single" w:sz="4" w:space="0" w:color="auto"/>
            </w:tcBorders>
            <w:shd w:val="clear" w:color="auto" w:fill="auto"/>
            <w:vAlign w:val="center"/>
          </w:tcPr>
          <w:p w14:paraId="6EAEF65B" w14:textId="07A1ECE1" w:rsidR="00287145" w:rsidRPr="00043DFF" w:rsidRDefault="002C1713" w:rsidP="00646FE9">
            <w:pPr>
              <w:jc w:val="right"/>
              <w:rPr>
                <w:sz w:val="18"/>
                <w:szCs w:val="18"/>
              </w:rPr>
            </w:pPr>
            <w:r w:rsidRPr="00043DFF">
              <w:rPr>
                <w:sz w:val="18"/>
                <w:szCs w:val="18"/>
              </w:rPr>
              <w:t>(*)</w:t>
            </w:r>
            <w:r>
              <w:rPr>
                <w:sz w:val="18"/>
                <w:szCs w:val="18"/>
              </w:rPr>
              <w:t xml:space="preserve">  </w:t>
            </w:r>
            <w:r w:rsidR="00287145" w:rsidRPr="00043DFF">
              <w:rPr>
                <w:sz w:val="18"/>
                <w:szCs w:val="18"/>
              </w:rPr>
              <w:t>$53.855.610</w:t>
            </w:r>
          </w:p>
        </w:tc>
        <w:tc>
          <w:tcPr>
            <w:tcW w:w="1504" w:type="dxa"/>
            <w:tcBorders>
              <w:bottom w:val="single" w:sz="4" w:space="0" w:color="auto"/>
            </w:tcBorders>
            <w:vAlign w:val="center"/>
          </w:tcPr>
          <w:p w14:paraId="7BA61C25" w14:textId="382FE7C9" w:rsidR="00287145" w:rsidRPr="00043DFF" w:rsidRDefault="00287145" w:rsidP="00646FE9">
            <w:pPr>
              <w:jc w:val="right"/>
              <w:rPr>
                <w:sz w:val="18"/>
                <w:szCs w:val="18"/>
              </w:rPr>
            </w:pPr>
            <w:r w:rsidRPr="00043DFF">
              <w:rPr>
                <w:sz w:val="18"/>
                <w:szCs w:val="18"/>
              </w:rPr>
              <w:t>N/A</w:t>
            </w:r>
          </w:p>
        </w:tc>
        <w:tc>
          <w:tcPr>
            <w:tcW w:w="910" w:type="dxa"/>
            <w:tcBorders>
              <w:bottom w:val="single" w:sz="4" w:space="0" w:color="auto"/>
            </w:tcBorders>
            <w:vAlign w:val="center"/>
          </w:tcPr>
          <w:p w14:paraId="43FAA7CE" w14:textId="41E87DEB" w:rsidR="00287145" w:rsidRPr="00043DFF" w:rsidRDefault="00287145" w:rsidP="00646FE9">
            <w:pPr>
              <w:jc w:val="right"/>
              <w:rPr>
                <w:sz w:val="18"/>
                <w:szCs w:val="18"/>
              </w:rPr>
            </w:pPr>
            <w:r w:rsidRPr="00043DFF">
              <w:rPr>
                <w:sz w:val="18"/>
                <w:szCs w:val="18"/>
              </w:rPr>
              <w:t>N/A</w:t>
            </w:r>
          </w:p>
        </w:tc>
      </w:tr>
      <w:tr w:rsidR="00287145" w:rsidRPr="00646FE9" w14:paraId="25DDA39D" w14:textId="02045704" w:rsidTr="001F44F4">
        <w:trPr>
          <w:trHeight w:val="353"/>
          <w:jc w:val="center"/>
        </w:trPr>
        <w:tc>
          <w:tcPr>
            <w:tcW w:w="1820" w:type="dxa"/>
            <w:tcBorders>
              <w:top w:val="single" w:sz="4" w:space="0" w:color="auto"/>
            </w:tcBorders>
            <w:vAlign w:val="center"/>
          </w:tcPr>
          <w:p w14:paraId="0147434E" w14:textId="77777777" w:rsidR="00287145" w:rsidRPr="00646FE9" w:rsidRDefault="00287145" w:rsidP="00287145">
            <w:pPr>
              <w:jc w:val="center"/>
              <w:rPr>
                <w:b/>
                <w:sz w:val="18"/>
              </w:rPr>
            </w:pPr>
            <w:r w:rsidRPr="00646FE9">
              <w:rPr>
                <w:b/>
                <w:sz w:val="18"/>
              </w:rPr>
              <w:t>Total</w:t>
            </w:r>
          </w:p>
        </w:tc>
        <w:tc>
          <w:tcPr>
            <w:tcW w:w="1615" w:type="dxa"/>
            <w:tcBorders>
              <w:top w:val="single" w:sz="4" w:space="0" w:color="auto"/>
            </w:tcBorders>
            <w:vAlign w:val="center"/>
          </w:tcPr>
          <w:p w14:paraId="25EDBF3C" w14:textId="77777777" w:rsidR="00287145" w:rsidRPr="00646FE9" w:rsidRDefault="00287145" w:rsidP="00287145">
            <w:pPr>
              <w:rPr>
                <w:sz w:val="18"/>
              </w:rPr>
            </w:pPr>
          </w:p>
        </w:tc>
        <w:tc>
          <w:tcPr>
            <w:tcW w:w="1331" w:type="dxa"/>
            <w:tcBorders>
              <w:top w:val="single" w:sz="4" w:space="0" w:color="auto"/>
            </w:tcBorders>
            <w:vAlign w:val="center"/>
          </w:tcPr>
          <w:p w14:paraId="2CCE279B" w14:textId="77777777" w:rsidR="00287145" w:rsidRPr="00646FE9" w:rsidRDefault="00287145" w:rsidP="00646FE9">
            <w:pPr>
              <w:jc w:val="right"/>
              <w:rPr>
                <w:sz w:val="18"/>
              </w:rPr>
            </w:pPr>
          </w:p>
        </w:tc>
        <w:tc>
          <w:tcPr>
            <w:tcW w:w="1341" w:type="dxa"/>
            <w:tcBorders>
              <w:top w:val="single" w:sz="4" w:space="0" w:color="auto"/>
            </w:tcBorders>
          </w:tcPr>
          <w:p w14:paraId="647EB523" w14:textId="2C7AED2B" w:rsidR="00287145" w:rsidRPr="00646FE9" w:rsidRDefault="00287145" w:rsidP="00646FE9">
            <w:pPr>
              <w:jc w:val="right"/>
              <w:rPr>
                <w:b/>
                <w:sz w:val="18"/>
              </w:rPr>
            </w:pPr>
          </w:p>
        </w:tc>
        <w:tc>
          <w:tcPr>
            <w:tcW w:w="1543" w:type="dxa"/>
            <w:tcBorders>
              <w:top w:val="single" w:sz="4" w:space="0" w:color="auto"/>
            </w:tcBorders>
            <w:vAlign w:val="center"/>
          </w:tcPr>
          <w:p w14:paraId="4B8419C6" w14:textId="65A7C190" w:rsidR="00287145" w:rsidRPr="00646FE9" w:rsidRDefault="00287145" w:rsidP="00646FE9">
            <w:pPr>
              <w:jc w:val="right"/>
              <w:rPr>
                <w:b/>
                <w:sz w:val="18"/>
              </w:rPr>
            </w:pPr>
            <w:r w:rsidRPr="00646FE9">
              <w:rPr>
                <w:b/>
                <w:sz w:val="18"/>
              </w:rPr>
              <w:t>1.647.787.374</w:t>
            </w:r>
          </w:p>
        </w:tc>
        <w:tc>
          <w:tcPr>
            <w:tcW w:w="1504" w:type="dxa"/>
            <w:tcBorders>
              <w:top w:val="single" w:sz="4" w:space="0" w:color="auto"/>
            </w:tcBorders>
          </w:tcPr>
          <w:p w14:paraId="4C9C3246" w14:textId="77777777" w:rsidR="00287145" w:rsidRPr="00646FE9" w:rsidRDefault="00287145" w:rsidP="00646FE9">
            <w:pPr>
              <w:jc w:val="right"/>
              <w:rPr>
                <w:b/>
                <w:sz w:val="18"/>
              </w:rPr>
            </w:pPr>
          </w:p>
        </w:tc>
        <w:tc>
          <w:tcPr>
            <w:tcW w:w="910" w:type="dxa"/>
            <w:tcBorders>
              <w:top w:val="single" w:sz="4" w:space="0" w:color="auto"/>
            </w:tcBorders>
            <w:vAlign w:val="center"/>
          </w:tcPr>
          <w:p w14:paraId="7B8AEB5F" w14:textId="2E92B0FA" w:rsidR="00287145" w:rsidRPr="00646FE9" w:rsidRDefault="00287145" w:rsidP="00646FE9">
            <w:pPr>
              <w:jc w:val="right"/>
              <w:rPr>
                <w:b/>
                <w:sz w:val="18"/>
              </w:rPr>
            </w:pPr>
          </w:p>
        </w:tc>
      </w:tr>
    </w:tbl>
    <w:p w14:paraId="42DA79FA" w14:textId="203C287D" w:rsidR="003305BD" w:rsidRPr="002B35E5" w:rsidRDefault="001325D9" w:rsidP="001325D9">
      <w:pPr>
        <w:jc w:val="center"/>
        <w:rPr>
          <w:i/>
          <w:sz w:val="18"/>
        </w:rPr>
      </w:pPr>
      <w:r>
        <w:rPr>
          <w:i/>
          <w:sz w:val="18"/>
        </w:rPr>
        <w:t xml:space="preserve">                                                                          </w:t>
      </w:r>
      <w:r w:rsidR="003305BD" w:rsidRPr="002B35E5">
        <w:rPr>
          <w:i/>
          <w:sz w:val="18"/>
        </w:rPr>
        <w:t>Fuente: Construcción propia</w:t>
      </w:r>
      <w:r w:rsidR="00474419">
        <w:rPr>
          <w:i/>
          <w:sz w:val="18"/>
        </w:rPr>
        <w:t>,</w:t>
      </w:r>
      <w:r w:rsidR="003305BD" w:rsidRPr="002B35E5">
        <w:rPr>
          <w:i/>
          <w:sz w:val="18"/>
        </w:rPr>
        <w:t xml:space="preserve"> saldos SAP y SIPE</w:t>
      </w:r>
    </w:p>
    <w:p w14:paraId="74C83212" w14:textId="1768ABB3" w:rsidR="003305BD" w:rsidRDefault="003305BD" w:rsidP="003305BD">
      <w:pPr>
        <w:rPr>
          <w:sz w:val="22"/>
        </w:rPr>
      </w:pPr>
    </w:p>
    <w:p w14:paraId="258FA521" w14:textId="3D0DDC24" w:rsidR="00D60E40" w:rsidRDefault="00D60E40" w:rsidP="003305BD">
      <w:pPr>
        <w:rPr>
          <w:sz w:val="18"/>
          <w:szCs w:val="18"/>
        </w:rPr>
      </w:pPr>
      <w:r>
        <w:rPr>
          <w:sz w:val="18"/>
          <w:szCs w:val="18"/>
        </w:rPr>
        <w:t xml:space="preserve">(*) </w:t>
      </w:r>
      <w:r w:rsidRPr="00D60E40">
        <w:rPr>
          <w:sz w:val="22"/>
        </w:rPr>
        <w:t>Informaci</w:t>
      </w:r>
      <w:r>
        <w:rPr>
          <w:sz w:val="22"/>
        </w:rPr>
        <w:t>ón del sistema de personal SIPE.</w:t>
      </w:r>
    </w:p>
    <w:p w14:paraId="6E9A2F9D" w14:textId="3FE85EC3" w:rsidR="00D60E40" w:rsidRDefault="00D60E40" w:rsidP="003305BD">
      <w:pPr>
        <w:rPr>
          <w:sz w:val="22"/>
        </w:rPr>
      </w:pPr>
    </w:p>
    <w:p w14:paraId="5088232C" w14:textId="77777777" w:rsidR="002C1713" w:rsidRDefault="002C1713" w:rsidP="003305BD">
      <w:pPr>
        <w:rPr>
          <w:sz w:val="22"/>
        </w:rPr>
      </w:pPr>
    </w:p>
    <w:p w14:paraId="1E3C96D5" w14:textId="2A8E217B" w:rsidR="008237AF" w:rsidRDefault="008237AF" w:rsidP="00287145">
      <w:pPr>
        <w:jc w:val="both"/>
        <w:rPr>
          <w:sz w:val="22"/>
        </w:rPr>
      </w:pPr>
      <w:r>
        <w:rPr>
          <w:sz w:val="22"/>
        </w:rPr>
        <w:t xml:space="preserve">El centro de costos creado </w:t>
      </w:r>
      <w:r w:rsidR="00D60E40">
        <w:rPr>
          <w:sz w:val="22"/>
        </w:rPr>
        <w:t xml:space="preserve">en el sistema SAP </w:t>
      </w:r>
      <w:r>
        <w:rPr>
          <w:sz w:val="22"/>
        </w:rPr>
        <w:t>para el proyecto es el 10410037- Complejo de la salud</w:t>
      </w:r>
      <w:r w:rsidR="00183DAC">
        <w:rPr>
          <w:sz w:val="22"/>
        </w:rPr>
        <w:t xml:space="preserve"> y el valor de los pagos al 30 de junio es</w:t>
      </w:r>
      <w:r w:rsidR="00BE2BCA">
        <w:rPr>
          <w:sz w:val="22"/>
        </w:rPr>
        <w:t xml:space="preserve"> $119 millones, sin embargo, a través de otros centros gestores también se han ejecutado recursos. </w:t>
      </w:r>
    </w:p>
    <w:p w14:paraId="7065952A" w14:textId="5CE9D5D2" w:rsidR="008237AF" w:rsidRDefault="008237AF" w:rsidP="003305BD">
      <w:pPr>
        <w:rPr>
          <w:sz w:val="22"/>
        </w:rPr>
      </w:pPr>
    </w:p>
    <w:tbl>
      <w:tblPr>
        <w:tblStyle w:val="Tablaconcuadrcula"/>
        <w:tblW w:w="6714" w:type="dxa"/>
        <w:jc w:val="center"/>
        <w:tblLook w:val="04A0" w:firstRow="1" w:lastRow="0" w:firstColumn="1" w:lastColumn="0" w:noHBand="0" w:noVBand="1"/>
      </w:tblPr>
      <w:tblGrid>
        <w:gridCol w:w="2972"/>
        <w:gridCol w:w="1715"/>
        <w:gridCol w:w="2027"/>
      </w:tblGrid>
      <w:tr w:rsidR="00183DAC" w:rsidRPr="00080146" w14:paraId="5B117701" w14:textId="530368DE" w:rsidTr="00183DAC">
        <w:trPr>
          <w:jc w:val="center"/>
        </w:trPr>
        <w:tc>
          <w:tcPr>
            <w:tcW w:w="2972" w:type="dxa"/>
            <w:vAlign w:val="center"/>
          </w:tcPr>
          <w:p w14:paraId="10F54EE7" w14:textId="4C6E23B3" w:rsidR="00183DAC" w:rsidRPr="00080146" w:rsidRDefault="00183DAC" w:rsidP="008237AF">
            <w:pPr>
              <w:jc w:val="center"/>
              <w:rPr>
                <w:b/>
                <w:i/>
                <w:sz w:val="20"/>
              </w:rPr>
            </w:pPr>
            <w:r w:rsidRPr="00080146">
              <w:rPr>
                <w:b/>
                <w:i/>
                <w:sz w:val="20"/>
              </w:rPr>
              <w:t>Centro de costos</w:t>
            </w:r>
          </w:p>
        </w:tc>
        <w:tc>
          <w:tcPr>
            <w:tcW w:w="1715" w:type="dxa"/>
            <w:vAlign w:val="center"/>
          </w:tcPr>
          <w:p w14:paraId="1FB91166" w14:textId="77777777" w:rsidR="00183DAC" w:rsidRPr="00080146" w:rsidRDefault="00183DAC" w:rsidP="008237AF">
            <w:pPr>
              <w:jc w:val="center"/>
              <w:rPr>
                <w:b/>
                <w:i/>
                <w:sz w:val="20"/>
              </w:rPr>
            </w:pPr>
            <w:r w:rsidRPr="00080146">
              <w:rPr>
                <w:b/>
                <w:i/>
                <w:sz w:val="20"/>
              </w:rPr>
              <w:t>Pagos 2017</w:t>
            </w:r>
          </w:p>
        </w:tc>
        <w:tc>
          <w:tcPr>
            <w:tcW w:w="2027" w:type="dxa"/>
            <w:vAlign w:val="center"/>
          </w:tcPr>
          <w:p w14:paraId="44DAED9B" w14:textId="777107FD" w:rsidR="00183DAC" w:rsidRPr="00080146" w:rsidRDefault="00183DAC" w:rsidP="008237AF">
            <w:pPr>
              <w:jc w:val="center"/>
              <w:rPr>
                <w:b/>
                <w:i/>
                <w:sz w:val="20"/>
              </w:rPr>
            </w:pPr>
            <w:r w:rsidRPr="00080146">
              <w:rPr>
                <w:b/>
                <w:i/>
                <w:sz w:val="20"/>
              </w:rPr>
              <w:t>Pagos a Junio 2018</w:t>
            </w:r>
          </w:p>
        </w:tc>
      </w:tr>
      <w:tr w:rsidR="00183DAC" w:rsidRPr="002B35E5" w14:paraId="0D513ECD" w14:textId="1DDA2ECC" w:rsidTr="00183DAC">
        <w:trPr>
          <w:trHeight w:val="441"/>
          <w:jc w:val="center"/>
        </w:trPr>
        <w:tc>
          <w:tcPr>
            <w:tcW w:w="2972" w:type="dxa"/>
            <w:vAlign w:val="center"/>
          </w:tcPr>
          <w:p w14:paraId="0EFF81CB" w14:textId="024728E0" w:rsidR="00183DAC" w:rsidRPr="002B35E5" w:rsidRDefault="00183DAC" w:rsidP="008237AF">
            <w:pPr>
              <w:jc w:val="center"/>
              <w:rPr>
                <w:sz w:val="20"/>
                <w:u w:val="single"/>
              </w:rPr>
            </w:pPr>
            <w:r w:rsidRPr="002B35E5">
              <w:rPr>
                <w:sz w:val="20"/>
              </w:rPr>
              <w:t>10410037-Complejo de la salud</w:t>
            </w:r>
          </w:p>
        </w:tc>
        <w:tc>
          <w:tcPr>
            <w:tcW w:w="1715" w:type="dxa"/>
            <w:vAlign w:val="center"/>
          </w:tcPr>
          <w:p w14:paraId="09DF351D" w14:textId="6DF24672" w:rsidR="00183DAC" w:rsidRPr="002B35E5" w:rsidRDefault="00183DAC" w:rsidP="008237AF">
            <w:pPr>
              <w:jc w:val="center"/>
              <w:rPr>
                <w:sz w:val="20"/>
              </w:rPr>
            </w:pPr>
            <w:r>
              <w:rPr>
                <w:sz w:val="20"/>
              </w:rPr>
              <w:t>$</w:t>
            </w:r>
            <w:r>
              <w:t xml:space="preserve"> </w:t>
            </w:r>
            <w:r w:rsidRPr="00183DAC">
              <w:rPr>
                <w:sz w:val="20"/>
              </w:rPr>
              <w:t>73</w:t>
            </w:r>
            <w:r>
              <w:rPr>
                <w:sz w:val="20"/>
              </w:rPr>
              <w:t>.</w:t>
            </w:r>
            <w:r w:rsidRPr="00183DAC">
              <w:rPr>
                <w:sz w:val="20"/>
              </w:rPr>
              <w:t>370</w:t>
            </w:r>
            <w:r>
              <w:rPr>
                <w:sz w:val="20"/>
              </w:rPr>
              <w:t>.</w:t>
            </w:r>
            <w:r w:rsidRPr="00183DAC">
              <w:rPr>
                <w:sz w:val="20"/>
              </w:rPr>
              <w:t>237</w:t>
            </w:r>
          </w:p>
        </w:tc>
        <w:tc>
          <w:tcPr>
            <w:tcW w:w="2027" w:type="dxa"/>
            <w:vAlign w:val="center"/>
          </w:tcPr>
          <w:p w14:paraId="564219A1" w14:textId="2ED2DD49" w:rsidR="00183DAC" w:rsidRPr="002B35E5" w:rsidRDefault="00183DAC" w:rsidP="008237AF">
            <w:pPr>
              <w:jc w:val="center"/>
              <w:rPr>
                <w:sz w:val="20"/>
              </w:rPr>
            </w:pPr>
            <w:r>
              <w:rPr>
                <w:sz w:val="20"/>
              </w:rPr>
              <w:t>$119.920.218</w:t>
            </w:r>
          </w:p>
        </w:tc>
      </w:tr>
    </w:tbl>
    <w:p w14:paraId="1188BEBC" w14:textId="77777777" w:rsidR="009A58B6" w:rsidRDefault="009A58B6" w:rsidP="00825548">
      <w:pPr>
        <w:rPr>
          <w:b/>
          <w:color w:val="385623" w:themeColor="accent6" w:themeShade="80"/>
          <w:sz w:val="22"/>
        </w:rPr>
      </w:pPr>
    </w:p>
    <w:p w14:paraId="3C788C8D" w14:textId="1C3A4520" w:rsidR="00825548" w:rsidRPr="00EB4203" w:rsidRDefault="00EC0019" w:rsidP="00646FE9">
      <w:pPr>
        <w:spacing w:after="160" w:line="259" w:lineRule="auto"/>
        <w:rPr>
          <w:b/>
          <w:color w:val="385623" w:themeColor="accent6" w:themeShade="80"/>
          <w:sz w:val="22"/>
        </w:rPr>
      </w:pPr>
      <w:r>
        <w:rPr>
          <w:b/>
          <w:color w:val="385623" w:themeColor="accent6" w:themeShade="80"/>
          <w:sz w:val="22"/>
        </w:rPr>
        <w:lastRenderedPageBreak/>
        <w:t>Observac</w:t>
      </w:r>
      <w:r w:rsidR="00825548">
        <w:rPr>
          <w:b/>
          <w:color w:val="385623" w:themeColor="accent6" w:themeShade="80"/>
          <w:sz w:val="22"/>
        </w:rPr>
        <w:t>ión</w:t>
      </w:r>
    </w:p>
    <w:p w14:paraId="2BE1F24B" w14:textId="1F7F60D7" w:rsidR="003305BD" w:rsidRDefault="00CF2FFE" w:rsidP="00824FCD">
      <w:pPr>
        <w:jc w:val="both"/>
        <w:rPr>
          <w:sz w:val="22"/>
          <w:szCs w:val="22"/>
        </w:rPr>
      </w:pPr>
      <w:r>
        <w:rPr>
          <w:sz w:val="22"/>
          <w:szCs w:val="22"/>
        </w:rPr>
        <w:t>El proyecto tiene creado en SAP un centro gestor denominado 10410037-Complejo de la Salud; sin embargo, s</w:t>
      </w:r>
      <w:r w:rsidR="00825548">
        <w:rPr>
          <w:sz w:val="22"/>
          <w:szCs w:val="22"/>
        </w:rPr>
        <w:t>e identifica</w:t>
      </w:r>
      <w:r>
        <w:rPr>
          <w:sz w:val="22"/>
          <w:szCs w:val="22"/>
        </w:rPr>
        <w:t>ron</w:t>
      </w:r>
      <w:r w:rsidR="00825548">
        <w:rPr>
          <w:sz w:val="22"/>
          <w:szCs w:val="22"/>
        </w:rPr>
        <w:t xml:space="preserve"> </w:t>
      </w:r>
      <w:r>
        <w:rPr>
          <w:sz w:val="22"/>
          <w:szCs w:val="22"/>
        </w:rPr>
        <w:t xml:space="preserve">conceptos </w:t>
      </w:r>
      <w:r w:rsidR="00825548">
        <w:rPr>
          <w:sz w:val="22"/>
          <w:szCs w:val="22"/>
        </w:rPr>
        <w:t xml:space="preserve">relacionados con el proyecto asociados a diferentes centros gestores entre ellos la estampilla, puntos ecológicos y la </w:t>
      </w:r>
      <w:r w:rsidR="001325D9">
        <w:rPr>
          <w:sz w:val="22"/>
          <w:szCs w:val="22"/>
        </w:rPr>
        <w:t>Vicerrectoría</w:t>
      </w:r>
      <w:r w:rsidR="00825548">
        <w:rPr>
          <w:sz w:val="22"/>
          <w:szCs w:val="22"/>
        </w:rPr>
        <w:t xml:space="preserve"> de docencia. </w:t>
      </w:r>
    </w:p>
    <w:p w14:paraId="4456E545" w14:textId="77777777" w:rsidR="00BE2BCA" w:rsidRDefault="00BE2BCA" w:rsidP="00BE2BCA">
      <w:pPr>
        <w:rPr>
          <w:b/>
          <w:color w:val="385623" w:themeColor="accent6" w:themeShade="80"/>
          <w:sz w:val="22"/>
        </w:rPr>
      </w:pPr>
    </w:p>
    <w:p w14:paraId="2A3FB458" w14:textId="0C8C5D13" w:rsidR="00BE2BCA" w:rsidRDefault="00BE2BCA" w:rsidP="00BE2BCA">
      <w:pPr>
        <w:rPr>
          <w:b/>
          <w:color w:val="385623" w:themeColor="accent6" w:themeShade="80"/>
          <w:sz w:val="22"/>
        </w:rPr>
      </w:pPr>
      <w:r>
        <w:rPr>
          <w:b/>
          <w:color w:val="385623" w:themeColor="accent6" w:themeShade="80"/>
          <w:sz w:val="22"/>
        </w:rPr>
        <w:t>Riesgo</w:t>
      </w:r>
    </w:p>
    <w:p w14:paraId="7FDB56B9" w14:textId="7A215272" w:rsidR="00BE2BCA" w:rsidRDefault="00CF2FFE" w:rsidP="00BE2BCA">
      <w:pPr>
        <w:rPr>
          <w:b/>
          <w:color w:val="385623" w:themeColor="accent6" w:themeShade="80"/>
          <w:sz w:val="22"/>
        </w:rPr>
      </w:pPr>
      <w:r>
        <w:rPr>
          <w:sz w:val="22"/>
          <w:szCs w:val="22"/>
        </w:rPr>
        <w:t>Riesgo de reporte o informe, dadas las p</w:t>
      </w:r>
      <w:r w:rsidR="00BE2BCA" w:rsidRPr="00BE2BCA">
        <w:rPr>
          <w:sz w:val="22"/>
          <w:szCs w:val="22"/>
        </w:rPr>
        <w:t>osibles dificultades en la consolidaci</w:t>
      </w:r>
      <w:r w:rsidR="004C06B4">
        <w:rPr>
          <w:sz w:val="22"/>
          <w:szCs w:val="22"/>
        </w:rPr>
        <w:t>ón y análisis financiero del proyecto por dispersión de los datos.</w:t>
      </w:r>
    </w:p>
    <w:p w14:paraId="3BE8ECA7" w14:textId="6BB32CDA" w:rsidR="00BE2BCA" w:rsidRDefault="00BE2BCA" w:rsidP="00BE2BCA">
      <w:pPr>
        <w:rPr>
          <w:b/>
          <w:color w:val="385623" w:themeColor="accent6" w:themeShade="80"/>
          <w:sz w:val="22"/>
        </w:rPr>
      </w:pPr>
    </w:p>
    <w:p w14:paraId="53CC9304" w14:textId="22462257" w:rsidR="00BE2BCA" w:rsidRPr="00EB4203" w:rsidRDefault="00BE2BCA" w:rsidP="00BE2BCA">
      <w:pPr>
        <w:rPr>
          <w:b/>
          <w:color w:val="385623" w:themeColor="accent6" w:themeShade="80"/>
          <w:sz w:val="22"/>
        </w:rPr>
      </w:pPr>
      <w:r>
        <w:rPr>
          <w:b/>
          <w:color w:val="385623" w:themeColor="accent6" w:themeShade="80"/>
          <w:sz w:val="22"/>
        </w:rPr>
        <w:t>Recomendación</w:t>
      </w:r>
    </w:p>
    <w:p w14:paraId="6F56BAC9" w14:textId="7AA4D397" w:rsidR="00BE2BCA" w:rsidRDefault="00CF2FFE" w:rsidP="002C1713">
      <w:pPr>
        <w:pStyle w:val="Prrafodelista"/>
        <w:numPr>
          <w:ilvl w:val="0"/>
          <w:numId w:val="69"/>
        </w:numPr>
        <w:spacing w:after="160" w:line="259" w:lineRule="auto"/>
        <w:ind w:left="284" w:hanging="284"/>
        <w:jc w:val="both"/>
        <w:rPr>
          <w:sz w:val="22"/>
        </w:rPr>
      </w:pPr>
      <w:r w:rsidRPr="001F44F4">
        <w:rPr>
          <w:sz w:val="22"/>
        </w:rPr>
        <w:t>P</w:t>
      </w:r>
      <w:r w:rsidR="004C06B4" w:rsidRPr="001F44F4">
        <w:rPr>
          <w:sz w:val="22"/>
        </w:rPr>
        <w:t>ara efectos de informes, reportes y toma de decisiones financieras</w:t>
      </w:r>
      <w:r w:rsidR="00D923D2" w:rsidRPr="001F44F4">
        <w:rPr>
          <w:sz w:val="22"/>
        </w:rPr>
        <w:t xml:space="preserve"> asociadas con los recursos ejecutados, </w:t>
      </w:r>
      <w:r w:rsidRPr="001F44F4">
        <w:rPr>
          <w:sz w:val="22"/>
        </w:rPr>
        <w:t xml:space="preserve">se debe tener presente </w:t>
      </w:r>
      <w:r w:rsidR="00D923D2" w:rsidRPr="001F44F4">
        <w:rPr>
          <w:sz w:val="22"/>
        </w:rPr>
        <w:t xml:space="preserve">que los </w:t>
      </w:r>
      <w:r w:rsidRPr="001F44F4">
        <w:rPr>
          <w:sz w:val="22"/>
        </w:rPr>
        <w:t xml:space="preserve">costos </w:t>
      </w:r>
      <w:r w:rsidR="00D923D2" w:rsidRPr="001F44F4">
        <w:rPr>
          <w:sz w:val="22"/>
        </w:rPr>
        <w:t>relacionados con el proyecto están asociados a diferentes centros gestores y para efectos de consolidación también debe incluir</w:t>
      </w:r>
      <w:r w:rsidR="00080146">
        <w:rPr>
          <w:sz w:val="22"/>
        </w:rPr>
        <w:t>se</w:t>
      </w:r>
      <w:r w:rsidR="00D923D2" w:rsidRPr="001F44F4">
        <w:rPr>
          <w:sz w:val="22"/>
        </w:rPr>
        <w:t xml:space="preserve"> </w:t>
      </w:r>
      <w:r w:rsidR="00080146">
        <w:rPr>
          <w:sz w:val="22"/>
        </w:rPr>
        <w:t>la información d</w:t>
      </w:r>
      <w:r w:rsidR="00D923D2" w:rsidRPr="001F44F4">
        <w:rPr>
          <w:sz w:val="22"/>
        </w:rPr>
        <w:t>el sistema SIPE.</w:t>
      </w:r>
    </w:p>
    <w:p w14:paraId="26AD1AAA" w14:textId="77777777" w:rsidR="002C1713" w:rsidRPr="001F44F4" w:rsidRDefault="002C1713" w:rsidP="001F44F4">
      <w:pPr>
        <w:pStyle w:val="Prrafodelista"/>
        <w:spacing w:after="160" w:line="259" w:lineRule="auto"/>
        <w:ind w:left="284"/>
        <w:jc w:val="both"/>
        <w:rPr>
          <w:sz w:val="22"/>
        </w:rPr>
      </w:pPr>
    </w:p>
    <w:p w14:paraId="7F245BB5" w14:textId="24D02A4B" w:rsidR="007A58F8" w:rsidRPr="001F44F4" w:rsidRDefault="00080146" w:rsidP="001F44F4">
      <w:pPr>
        <w:pStyle w:val="Prrafodelista"/>
        <w:numPr>
          <w:ilvl w:val="0"/>
          <w:numId w:val="69"/>
        </w:numPr>
        <w:spacing w:line="259" w:lineRule="auto"/>
        <w:ind w:left="284" w:hanging="284"/>
        <w:jc w:val="both"/>
        <w:rPr>
          <w:sz w:val="22"/>
        </w:rPr>
      </w:pPr>
      <w:r>
        <w:rPr>
          <w:sz w:val="22"/>
        </w:rPr>
        <w:t>I</w:t>
      </w:r>
      <w:r w:rsidR="007A58F8" w:rsidRPr="001F44F4">
        <w:rPr>
          <w:sz w:val="22"/>
        </w:rPr>
        <w:t>mplementa</w:t>
      </w:r>
      <w:r>
        <w:rPr>
          <w:sz w:val="22"/>
        </w:rPr>
        <w:t>r</w:t>
      </w:r>
      <w:r w:rsidR="007A58F8" w:rsidRPr="001F44F4">
        <w:rPr>
          <w:sz w:val="22"/>
        </w:rPr>
        <w:t xml:space="preserve"> un centro de costos específico para unificar </w:t>
      </w:r>
      <w:r>
        <w:rPr>
          <w:sz w:val="22"/>
        </w:rPr>
        <w:t>el</w:t>
      </w:r>
      <w:r w:rsidR="007A58F8" w:rsidRPr="001F44F4">
        <w:rPr>
          <w:sz w:val="22"/>
        </w:rPr>
        <w:t xml:space="preserve"> manejo </w:t>
      </w:r>
      <w:r>
        <w:rPr>
          <w:sz w:val="22"/>
        </w:rPr>
        <w:t xml:space="preserve">de erogaciones asociadas al proyecto </w:t>
      </w:r>
      <w:r w:rsidR="007A58F8" w:rsidRPr="001F44F4">
        <w:rPr>
          <w:sz w:val="22"/>
        </w:rPr>
        <w:t>y para facilitar el control de todos los conceptos relacionados.</w:t>
      </w:r>
    </w:p>
    <w:p w14:paraId="4B8063B8" w14:textId="16E1C775" w:rsidR="00D60E40" w:rsidRDefault="00D60E40" w:rsidP="00646FE9">
      <w:pPr>
        <w:spacing w:line="259" w:lineRule="auto"/>
        <w:jc w:val="both"/>
        <w:rPr>
          <w:sz w:val="22"/>
        </w:rPr>
      </w:pPr>
    </w:p>
    <w:p w14:paraId="49D94693" w14:textId="77777777" w:rsidR="009B1587" w:rsidRPr="009B1587" w:rsidRDefault="009B1587" w:rsidP="009B1587">
      <w:pPr>
        <w:rPr>
          <w:bCs/>
          <w:sz w:val="22"/>
          <w:szCs w:val="22"/>
        </w:rPr>
      </w:pPr>
      <w:r w:rsidRPr="009B1587">
        <w:rPr>
          <w:b/>
          <w:color w:val="385623" w:themeColor="accent6" w:themeShade="80"/>
          <w:sz w:val="22"/>
        </w:rPr>
        <w:t xml:space="preserve">Comentarios Administración </w:t>
      </w:r>
    </w:p>
    <w:p w14:paraId="7C679B41" w14:textId="77777777" w:rsidR="0083606E" w:rsidRDefault="00B54A31" w:rsidP="009B1587">
      <w:pPr>
        <w:jc w:val="both"/>
        <w:rPr>
          <w:bCs/>
          <w:sz w:val="22"/>
          <w:szCs w:val="22"/>
        </w:rPr>
      </w:pPr>
      <w:r>
        <w:rPr>
          <w:bCs/>
          <w:sz w:val="22"/>
          <w:szCs w:val="22"/>
        </w:rPr>
        <w:t>La Directora General del proyecto manifiesta que efectivamente se recibieron aportes de otras dependencias. Adicionalmente informa</w:t>
      </w:r>
      <w:r w:rsidR="0083606E">
        <w:rPr>
          <w:bCs/>
          <w:sz w:val="22"/>
          <w:szCs w:val="22"/>
        </w:rPr>
        <w:t xml:space="preserve"> que se debe analizar la destinación de la plaza de la profesora a cargo de la Dirección Académica ante el cambio del proyecto. </w:t>
      </w:r>
    </w:p>
    <w:p w14:paraId="2F755D54" w14:textId="1FCFA7DD" w:rsidR="009B1587" w:rsidRPr="009B1587" w:rsidRDefault="009B1587" w:rsidP="009B1587">
      <w:pPr>
        <w:jc w:val="both"/>
        <w:rPr>
          <w:bCs/>
          <w:sz w:val="22"/>
          <w:szCs w:val="22"/>
        </w:rPr>
      </w:pPr>
      <w:r w:rsidRPr="009B1587">
        <w:rPr>
          <w:bCs/>
          <w:sz w:val="22"/>
          <w:szCs w:val="22"/>
        </w:rPr>
        <w:t xml:space="preserve">De </w:t>
      </w:r>
      <w:r w:rsidRPr="009B1587">
        <w:rPr>
          <w:sz w:val="22"/>
        </w:rPr>
        <w:t>acuerdo</w:t>
      </w:r>
      <w:r w:rsidRPr="009B1587">
        <w:rPr>
          <w:bCs/>
          <w:sz w:val="22"/>
          <w:szCs w:val="22"/>
        </w:rPr>
        <w:t xml:space="preserve"> con la recomendación</w:t>
      </w:r>
    </w:p>
    <w:p w14:paraId="6EAD8E2C" w14:textId="77777777" w:rsidR="00FF02EC" w:rsidRPr="00D60E40" w:rsidRDefault="00FF02EC" w:rsidP="00646FE9">
      <w:pPr>
        <w:spacing w:line="259" w:lineRule="auto"/>
        <w:jc w:val="both"/>
        <w:rPr>
          <w:sz w:val="22"/>
        </w:rPr>
      </w:pPr>
    </w:p>
    <w:p w14:paraId="1A69BCB8" w14:textId="30C1E46D" w:rsidR="00D556F8" w:rsidRPr="001F44F4" w:rsidRDefault="002B6E11" w:rsidP="003A7278">
      <w:pPr>
        <w:pStyle w:val="Ttulo4"/>
        <w:numPr>
          <w:ilvl w:val="2"/>
          <w:numId w:val="82"/>
        </w:numPr>
        <w:rPr>
          <w:rFonts w:ascii="Times New Roman" w:hAnsi="Times New Roman" w:cs="Times New Roman"/>
          <w:b/>
          <w:color w:val="385623" w:themeColor="accent6" w:themeShade="80"/>
          <w:sz w:val="22"/>
        </w:rPr>
      </w:pPr>
      <w:bookmarkStart w:id="19" w:name="_Toc512332500"/>
      <w:r w:rsidRPr="001F44F4">
        <w:rPr>
          <w:rFonts w:ascii="Times New Roman" w:hAnsi="Times New Roman" w:cs="Times New Roman"/>
          <w:b/>
          <w:color w:val="385623" w:themeColor="accent6" w:themeShade="80"/>
          <w:sz w:val="22"/>
        </w:rPr>
        <w:t>Fuentes del Financiamiento</w:t>
      </w:r>
      <w:bookmarkEnd w:id="19"/>
    </w:p>
    <w:p w14:paraId="1964E9E4" w14:textId="77777777" w:rsidR="00D556F8" w:rsidRPr="00D556F8" w:rsidRDefault="00D556F8" w:rsidP="00D556F8"/>
    <w:p w14:paraId="2775F863" w14:textId="726AB3AC" w:rsidR="002B6E11" w:rsidRPr="00646FE9" w:rsidRDefault="005952B9" w:rsidP="00646FE9">
      <w:pPr>
        <w:pStyle w:val="Prrafodelista"/>
        <w:numPr>
          <w:ilvl w:val="0"/>
          <w:numId w:val="62"/>
        </w:numPr>
        <w:ind w:left="567" w:hanging="425"/>
        <w:rPr>
          <w:b/>
          <w:color w:val="385623" w:themeColor="accent6" w:themeShade="80"/>
          <w:sz w:val="22"/>
        </w:rPr>
      </w:pPr>
      <w:r w:rsidRPr="00646FE9">
        <w:rPr>
          <w:b/>
          <w:color w:val="385623" w:themeColor="accent6" w:themeShade="80"/>
          <w:sz w:val="22"/>
        </w:rPr>
        <w:t>Recaudo de Estampilla y proyección de respaldo a la Deuda.</w:t>
      </w:r>
    </w:p>
    <w:p w14:paraId="5D9CCE32" w14:textId="77777777" w:rsidR="00745760" w:rsidRDefault="00745760" w:rsidP="00C966E5">
      <w:pPr>
        <w:ind w:left="567"/>
        <w:rPr>
          <w:sz w:val="22"/>
        </w:rPr>
      </w:pPr>
    </w:p>
    <w:p w14:paraId="6F780FD4" w14:textId="47545A3C" w:rsidR="006C083D" w:rsidRDefault="00D556F8" w:rsidP="00C966E5">
      <w:pPr>
        <w:ind w:left="567"/>
        <w:jc w:val="both"/>
        <w:rPr>
          <w:sz w:val="22"/>
        </w:rPr>
      </w:pPr>
      <w:r>
        <w:rPr>
          <w:sz w:val="22"/>
        </w:rPr>
        <w:t xml:space="preserve">La </w:t>
      </w:r>
      <w:r w:rsidR="00006530">
        <w:rPr>
          <w:sz w:val="22"/>
        </w:rPr>
        <w:t xml:space="preserve">Ley 122 de 1994 y la Ley 1321 de 2009 determinan un valor de la emisión hasta $200.000 millones de pesos a precios de 1994; </w:t>
      </w:r>
      <w:r w:rsidR="00006530" w:rsidRPr="00825548">
        <w:rPr>
          <w:sz w:val="22"/>
        </w:rPr>
        <w:t>a</w:t>
      </w:r>
      <w:r w:rsidR="00B53C63" w:rsidRPr="00825548">
        <w:rPr>
          <w:sz w:val="22"/>
        </w:rPr>
        <w:t xml:space="preserve"> diciembre</w:t>
      </w:r>
      <w:r w:rsidR="00006530">
        <w:rPr>
          <w:sz w:val="22"/>
        </w:rPr>
        <w:t xml:space="preserve"> de 2017, e</w:t>
      </w:r>
      <w:r w:rsidR="006C083D">
        <w:rPr>
          <w:sz w:val="22"/>
        </w:rPr>
        <w:t>l valor recaudado por estampilla asciende a</w:t>
      </w:r>
      <w:r w:rsidR="00006530">
        <w:rPr>
          <w:sz w:val="22"/>
        </w:rPr>
        <w:t xml:space="preserve"> </w:t>
      </w:r>
      <w:r w:rsidR="006C083D">
        <w:rPr>
          <w:sz w:val="22"/>
        </w:rPr>
        <w:t xml:space="preserve">$119.334 millones a precios de 1994. </w:t>
      </w:r>
    </w:p>
    <w:p w14:paraId="57A1A65D" w14:textId="77777777" w:rsidR="006C083D" w:rsidRDefault="006C083D" w:rsidP="00C966E5">
      <w:pPr>
        <w:ind w:left="567"/>
        <w:rPr>
          <w:sz w:val="22"/>
        </w:rPr>
      </w:pPr>
    </w:p>
    <w:p w14:paraId="58E7CA78" w14:textId="0C813A34" w:rsidR="005952B9" w:rsidRDefault="006C083D" w:rsidP="00C966E5">
      <w:pPr>
        <w:ind w:left="567"/>
        <w:jc w:val="both"/>
        <w:rPr>
          <w:sz w:val="22"/>
        </w:rPr>
      </w:pPr>
      <w:r>
        <w:rPr>
          <w:sz w:val="22"/>
        </w:rPr>
        <w:t>En consideración con lo anterior, l</w:t>
      </w:r>
      <w:r w:rsidR="005952B9" w:rsidRPr="005952B9">
        <w:rPr>
          <w:sz w:val="22"/>
        </w:rPr>
        <w:t>a Oficina de Auditoria</w:t>
      </w:r>
      <w:r>
        <w:rPr>
          <w:sz w:val="22"/>
        </w:rPr>
        <w:t>,</w:t>
      </w:r>
      <w:r w:rsidR="005952B9" w:rsidRPr="005952B9">
        <w:rPr>
          <w:sz w:val="22"/>
        </w:rPr>
        <w:t xml:space="preserve"> </w:t>
      </w:r>
      <w:r>
        <w:rPr>
          <w:sz w:val="22"/>
        </w:rPr>
        <w:t>proyect</w:t>
      </w:r>
      <w:r w:rsidR="00006530">
        <w:rPr>
          <w:sz w:val="22"/>
        </w:rPr>
        <w:t>ó</w:t>
      </w:r>
      <w:r w:rsidR="007C460F">
        <w:rPr>
          <w:sz w:val="22"/>
        </w:rPr>
        <w:t xml:space="preserve"> el </w:t>
      </w:r>
      <w:r w:rsidR="00745760">
        <w:rPr>
          <w:sz w:val="22"/>
        </w:rPr>
        <w:t>cálculo</w:t>
      </w:r>
      <w:r w:rsidR="007C460F">
        <w:rPr>
          <w:sz w:val="22"/>
        </w:rPr>
        <w:t xml:space="preserve"> </w:t>
      </w:r>
      <w:r>
        <w:rPr>
          <w:sz w:val="22"/>
        </w:rPr>
        <w:t xml:space="preserve">para identificar el año hasta el cual </w:t>
      </w:r>
      <w:r w:rsidR="00006530">
        <w:rPr>
          <w:sz w:val="22"/>
        </w:rPr>
        <w:t>el</w:t>
      </w:r>
      <w:r>
        <w:rPr>
          <w:sz w:val="22"/>
        </w:rPr>
        <w:t xml:space="preserve"> recaudo </w:t>
      </w:r>
      <w:r w:rsidR="00006530">
        <w:rPr>
          <w:sz w:val="22"/>
        </w:rPr>
        <w:t xml:space="preserve">por estampilla </w:t>
      </w:r>
      <w:r>
        <w:rPr>
          <w:sz w:val="22"/>
        </w:rPr>
        <w:t>alcanzaría a constituir fuente de financiamiento para el pago de servicio de la deuda.</w:t>
      </w:r>
      <w:r w:rsidR="00C41454">
        <w:rPr>
          <w:sz w:val="22"/>
        </w:rPr>
        <w:t xml:space="preserve">  </w:t>
      </w:r>
    </w:p>
    <w:p w14:paraId="2A37450F" w14:textId="49D3EF89" w:rsidR="00745760" w:rsidRDefault="00745760" w:rsidP="00C966E5">
      <w:pPr>
        <w:ind w:left="567"/>
        <w:jc w:val="both"/>
        <w:rPr>
          <w:sz w:val="22"/>
        </w:rPr>
      </w:pPr>
    </w:p>
    <w:p w14:paraId="62992852" w14:textId="51526F02" w:rsidR="00745760" w:rsidRDefault="00C41454" w:rsidP="00C966E5">
      <w:pPr>
        <w:ind w:left="567"/>
        <w:jc w:val="both"/>
        <w:rPr>
          <w:sz w:val="22"/>
        </w:rPr>
      </w:pPr>
      <w:r>
        <w:rPr>
          <w:sz w:val="22"/>
        </w:rPr>
        <w:t>El ejercicio part</w:t>
      </w:r>
      <w:r w:rsidR="00080146">
        <w:rPr>
          <w:sz w:val="22"/>
        </w:rPr>
        <w:t>ió</w:t>
      </w:r>
      <w:r>
        <w:rPr>
          <w:sz w:val="22"/>
        </w:rPr>
        <w:t xml:space="preserve"> de un </w:t>
      </w:r>
      <w:r w:rsidR="00745760">
        <w:rPr>
          <w:sz w:val="22"/>
        </w:rPr>
        <w:t>estimado de crecimiento del 4% en el recaudo a partir del 2018</w:t>
      </w:r>
      <w:r>
        <w:rPr>
          <w:sz w:val="22"/>
        </w:rPr>
        <w:t xml:space="preserve">.  A </w:t>
      </w:r>
      <w:r w:rsidR="00BF1D3F">
        <w:rPr>
          <w:sz w:val="22"/>
        </w:rPr>
        <w:t>continuación,</w:t>
      </w:r>
      <w:r>
        <w:rPr>
          <w:sz w:val="22"/>
        </w:rPr>
        <w:t xml:space="preserve"> se detalla el resultado </w:t>
      </w:r>
      <w:r w:rsidR="00F81B63">
        <w:rPr>
          <w:sz w:val="22"/>
        </w:rPr>
        <w:t>obtenido:</w:t>
      </w:r>
    </w:p>
    <w:p w14:paraId="03A7D92D" w14:textId="77777777" w:rsidR="007C460F" w:rsidRPr="005952B9" w:rsidRDefault="007C460F" w:rsidP="00C966E5">
      <w:pPr>
        <w:ind w:left="567"/>
        <w:rPr>
          <w:sz w:val="22"/>
        </w:rPr>
      </w:pPr>
    </w:p>
    <w:tbl>
      <w:tblPr>
        <w:tblStyle w:val="Tabladecuadrcula2-nfasis6"/>
        <w:tblW w:w="7792" w:type="dxa"/>
        <w:jc w:val="right"/>
        <w:tblLook w:val="04A0" w:firstRow="1" w:lastRow="0" w:firstColumn="1" w:lastColumn="0" w:noHBand="0" w:noVBand="1"/>
      </w:tblPr>
      <w:tblGrid>
        <w:gridCol w:w="1115"/>
        <w:gridCol w:w="1857"/>
        <w:gridCol w:w="1559"/>
        <w:gridCol w:w="1731"/>
        <w:gridCol w:w="1530"/>
      </w:tblGrid>
      <w:tr w:rsidR="0012522D" w:rsidRPr="00646FE9" w14:paraId="725E7E93" w14:textId="69DDCCBC" w:rsidTr="00E1445F">
        <w:trPr>
          <w:cnfStyle w:val="100000000000" w:firstRow="1" w:lastRow="0" w:firstColumn="0" w:lastColumn="0" w:oddVBand="0" w:evenVBand="0" w:oddHBand="0" w:evenHBand="0" w:firstRowFirstColumn="0" w:firstRowLastColumn="0" w:lastRowFirstColumn="0" w:lastRowLastColumn="0"/>
          <w:trHeight w:val="362"/>
          <w:tblHeader/>
          <w:jc w:val="right"/>
        </w:trPr>
        <w:tc>
          <w:tcPr>
            <w:cnfStyle w:val="001000000000" w:firstRow="0" w:lastRow="0" w:firstColumn="1" w:lastColumn="0" w:oddVBand="0" w:evenVBand="0" w:oddHBand="0" w:evenHBand="0" w:firstRowFirstColumn="0" w:firstRowLastColumn="0" w:lastRowFirstColumn="0" w:lastRowLastColumn="0"/>
            <w:tcW w:w="1115" w:type="dxa"/>
            <w:vAlign w:val="center"/>
            <w:hideMark/>
          </w:tcPr>
          <w:p w14:paraId="007592BC" w14:textId="77777777" w:rsidR="0012522D" w:rsidRPr="00646FE9" w:rsidRDefault="0012522D" w:rsidP="007301BF">
            <w:pPr>
              <w:spacing w:after="100" w:afterAutospacing="1"/>
              <w:jc w:val="center"/>
              <w:rPr>
                <w:b w:val="0"/>
                <w:bCs w:val="0"/>
                <w:i/>
                <w:color w:val="000000"/>
                <w:sz w:val="16"/>
                <w:szCs w:val="22"/>
              </w:rPr>
            </w:pPr>
            <w:r w:rsidRPr="00646FE9">
              <w:rPr>
                <w:b w:val="0"/>
                <w:bCs w:val="0"/>
                <w:i/>
                <w:color w:val="000000"/>
                <w:sz w:val="16"/>
                <w:szCs w:val="22"/>
              </w:rPr>
              <w:t>Año</w:t>
            </w:r>
          </w:p>
        </w:tc>
        <w:tc>
          <w:tcPr>
            <w:tcW w:w="1857" w:type="dxa"/>
            <w:vAlign w:val="center"/>
            <w:hideMark/>
          </w:tcPr>
          <w:p w14:paraId="398AF217" w14:textId="3F9757FE" w:rsidR="0012522D" w:rsidRPr="00646FE9" w:rsidRDefault="0012522D" w:rsidP="007301BF">
            <w:pPr>
              <w:spacing w:after="100" w:afterAutospacing="1"/>
              <w:jc w:val="center"/>
              <w:cnfStyle w:val="100000000000" w:firstRow="1" w:lastRow="0" w:firstColumn="0" w:lastColumn="0" w:oddVBand="0" w:evenVBand="0" w:oddHBand="0" w:evenHBand="0" w:firstRowFirstColumn="0" w:firstRowLastColumn="0" w:lastRowFirstColumn="0" w:lastRowLastColumn="0"/>
              <w:rPr>
                <w:b w:val="0"/>
                <w:bCs w:val="0"/>
                <w:i/>
                <w:color w:val="000000"/>
                <w:sz w:val="16"/>
                <w:szCs w:val="22"/>
              </w:rPr>
            </w:pPr>
            <w:r w:rsidRPr="00646FE9">
              <w:rPr>
                <w:b w:val="0"/>
                <w:bCs w:val="0"/>
                <w:i/>
                <w:color w:val="000000"/>
                <w:sz w:val="16"/>
                <w:szCs w:val="22"/>
              </w:rPr>
              <w:t>Recaudo estampilla a precios corrientes</w:t>
            </w:r>
          </w:p>
        </w:tc>
        <w:tc>
          <w:tcPr>
            <w:tcW w:w="1559" w:type="dxa"/>
            <w:vAlign w:val="center"/>
            <w:hideMark/>
          </w:tcPr>
          <w:p w14:paraId="2BBF3CAA" w14:textId="146BDF15" w:rsidR="0012522D" w:rsidRPr="00646FE9" w:rsidRDefault="00745760" w:rsidP="007301BF">
            <w:pPr>
              <w:spacing w:after="100" w:afterAutospacing="1"/>
              <w:jc w:val="center"/>
              <w:cnfStyle w:val="100000000000" w:firstRow="1" w:lastRow="0" w:firstColumn="0" w:lastColumn="0" w:oddVBand="0" w:evenVBand="0" w:oddHBand="0" w:evenHBand="0" w:firstRowFirstColumn="0" w:firstRowLastColumn="0" w:lastRowFirstColumn="0" w:lastRowLastColumn="0"/>
              <w:rPr>
                <w:b w:val="0"/>
                <w:bCs w:val="0"/>
                <w:i/>
                <w:color w:val="000000"/>
                <w:sz w:val="16"/>
                <w:szCs w:val="22"/>
              </w:rPr>
            </w:pPr>
            <w:r w:rsidRPr="00646FE9">
              <w:rPr>
                <w:b w:val="0"/>
                <w:bCs w:val="0"/>
                <w:i/>
                <w:color w:val="000000"/>
                <w:sz w:val="16"/>
                <w:szCs w:val="22"/>
              </w:rPr>
              <w:t>Índice de inflación</w:t>
            </w:r>
          </w:p>
        </w:tc>
        <w:tc>
          <w:tcPr>
            <w:tcW w:w="1731" w:type="dxa"/>
            <w:vAlign w:val="center"/>
            <w:hideMark/>
          </w:tcPr>
          <w:p w14:paraId="62870F30" w14:textId="01D59374" w:rsidR="0012522D" w:rsidRPr="00646FE9" w:rsidRDefault="0012522D" w:rsidP="007301BF">
            <w:pPr>
              <w:spacing w:after="100" w:afterAutospacing="1"/>
              <w:jc w:val="center"/>
              <w:cnfStyle w:val="100000000000" w:firstRow="1" w:lastRow="0" w:firstColumn="0" w:lastColumn="0" w:oddVBand="0" w:evenVBand="0" w:oddHBand="0" w:evenHBand="0" w:firstRowFirstColumn="0" w:firstRowLastColumn="0" w:lastRowFirstColumn="0" w:lastRowLastColumn="0"/>
              <w:rPr>
                <w:b w:val="0"/>
                <w:bCs w:val="0"/>
                <w:i/>
                <w:color w:val="000000"/>
                <w:sz w:val="16"/>
                <w:szCs w:val="22"/>
              </w:rPr>
            </w:pPr>
            <w:r w:rsidRPr="00646FE9">
              <w:rPr>
                <w:b w:val="0"/>
                <w:bCs w:val="0"/>
                <w:i/>
                <w:color w:val="000000"/>
                <w:sz w:val="16"/>
                <w:szCs w:val="22"/>
              </w:rPr>
              <w:t>Recaudo estampilla a precios constantes</w:t>
            </w:r>
          </w:p>
        </w:tc>
        <w:tc>
          <w:tcPr>
            <w:tcW w:w="1530" w:type="dxa"/>
            <w:vAlign w:val="center"/>
          </w:tcPr>
          <w:p w14:paraId="7D0440DA" w14:textId="71FEA56B" w:rsidR="0012522D" w:rsidRPr="00646FE9" w:rsidRDefault="0012522D" w:rsidP="007301BF">
            <w:pPr>
              <w:spacing w:after="100" w:afterAutospacing="1"/>
              <w:jc w:val="center"/>
              <w:cnfStyle w:val="100000000000" w:firstRow="1" w:lastRow="0" w:firstColumn="0" w:lastColumn="0" w:oddVBand="0" w:evenVBand="0" w:oddHBand="0" w:evenHBand="0" w:firstRowFirstColumn="0" w:firstRowLastColumn="0" w:lastRowFirstColumn="0" w:lastRowLastColumn="0"/>
              <w:rPr>
                <w:b w:val="0"/>
                <w:bCs w:val="0"/>
                <w:i/>
                <w:color w:val="000000"/>
                <w:sz w:val="16"/>
                <w:szCs w:val="22"/>
              </w:rPr>
            </w:pPr>
            <w:r w:rsidRPr="00646FE9">
              <w:rPr>
                <w:b w:val="0"/>
                <w:bCs w:val="0"/>
                <w:i/>
                <w:color w:val="000000"/>
                <w:sz w:val="16"/>
                <w:szCs w:val="22"/>
              </w:rPr>
              <w:t>Limite</w:t>
            </w:r>
          </w:p>
        </w:tc>
      </w:tr>
      <w:tr w:rsidR="0012522D" w:rsidRPr="00646FE9" w14:paraId="461EBC89" w14:textId="2738F55D" w:rsidTr="00E1445F">
        <w:trPr>
          <w:cnfStyle w:val="000000100000" w:firstRow="0" w:lastRow="0" w:firstColumn="0" w:lastColumn="0" w:oddVBand="0" w:evenVBand="0" w:oddHBand="1" w:evenHBand="0" w:firstRowFirstColumn="0" w:firstRowLastColumn="0" w:lastRowFirstColumn="0" w:lastRowLastColumn="0"/>
          <w:trHeight w:val="45"/>
          <w:jc w:val="right"/>
        </w:trPr>
        <w:tc>
          <w:tcPr>
            <w:cnfStyle w:val="001000000000" w:firstRow="0" w:lastRow="0" w:firstColumn="1" w:lastColumn="0" w:oddVBand="0" w:evenVBand="0" w:oddHBand="0" w:evenHBand="0" w:firstRowFirstColumn="0" w:firstRowLastColumn="0" w:lastRowFirstColumn="0" w:lastRowLastColumn="0"/>
            <w:tcW w:w="1115" w:type="dxa"/>
            <w:noWrap/>
            <w:hideMark/>
          </w:tcPr>
          <w:p w14:paraId="2E2ABAF3" w14:textId="77777777" w:rsidR="0012522D" w:rsidRPr="00646FE9" w:rsidRDefault="0012522D" w:rsidP="007301BF">
            <w:pPr>
              <w:spacing w:after="100" w:afterAutospacing="1"/>
              <w:jc w:val="center"/>
              <w:rPr>
                <w:color w:val="000000"/>
                <w:sz w:val="16"/>
                <w:szCs w:val="22"/>
              </w:rPr>
            </w:pPr>
            <w:r w:rsidRPr="00646FE9">
              <w:rPr>
                <w:color w:val="000000"/>
                <w:sz w:val="16"/>
                <w:szCs w:val="22"/>
              </w:rPr>
              <w:t>1994</w:t>
            </w:r>
          </w:p>
        </w:tc>
        <w:tc>
          <w:tcPr>
            <w:tcW w:w="1857" w:type="dxa"/>
            <w:noWrap/>
            <w:hideMark/>
          </w:tcPr>
          <w:p w14:paraId="3852C555" w14:textId="12329041"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292</w:t>
            </w:r>
          </w:p>
        </w:tc>
        <w:tc>
          <w:tcPr>
            <w:tcW w:w="1559" w:type="dxa"/>
            <w:noWrap/>
            <w:hideMark/>
          </w:tcPr>
          <w:p w14:paraId="0FB828EC" w14:textId="77777777"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0,2259</w:t>
            </w:r>
          </w:p>
        </w:tc>
        <w:tc>
          <w:tcPr>
            <w:tcW w:w="1731" w:type="dxa"/>
            <w:noWrap/>
            <w:hideMark/>
          </w:tcPr>
          <w:p w14:paraId="2706ACC5" w14:textId="56A9CDE3"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238</w:t>
            </w:r>
          </w:p>
        </w:tc>
        <w:tc>
          <w:tcPr>
            <w:tcW w:w="1530" w:type="dxa"/>
          </w:tcPr>
          <w:p w14:paraId="4F29C887" w14:textId="77777777"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p>
        </w:tc>
      </w:tr>
      <w:tr w:rsidR="0012522D" w:rsidRPr="00646FE9" w14:paraId="5EBDB5EA" w14:textId="10FEB16C" w:rsidTr="00E1445F">
        <w:trPr>
          <w:trHeight w:val="102"/>
          <w:jc w:val="right"/>
        </w:trPr>
        <w:tc>
          <w:tcPr>
            <w:cnfStyle w:val="001000000000" w:firstRow="0" w:lastRow="0" w:firstColumn="1" w:lastColumn="0" w:oddVBand="0" w:evenVBand="0" w:oddHBand="0" w:evenHBand="0" w:firstRowFirstColumn="0" w:firstRowLastColumn="0" w:lastRowFirstColumn="0" w:lastRowLastColumn="0"/>
            <w:tcW w:w="1115" w:type="dxa"/>
            <w:noWrap/>
            <w:hideMark/>
          </w:tcPr>
          <w:p w14:paraId="2433ABBD" w14:textId="77777777" w:rsidR="0012522D" w:rsidRPr="00646FE9" w:rsidRDefault="0012522D" w:rsidP="007301BF">
            <w:pPr>
              <w:spacing w:after="100" w:afterAutospacing="1"/>
              <w:jc w:val="center"/>
              <w:rPr>
                <w:color w:val="000000"/>
                <w:sz w:val="16"/>
                <w:szCs w:val="22"/>
              </w:rPr>
            </w:pPr>
            <w:r w:rsidRPr="00646FE9">
              <w:rPr>
                <w:color w:val="000000"/>
                <w:sz w:val="16"/>
                <w:szCs w:val="22"/>
              </w:rPr>
              <w:t>1995</w:t>
            </w:r>
          </w:p>
        </w:tc>
        <w:tc>
          <w:tcPr>
            <w:tcW w:w="1857" w:type="dxa"/>
            <w:noWrap/>
            <w:hideMark/>
          </w:tcPr>
          <w:p w14:paraId="6D502E93" w14:textId="4B4C5AC0"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2.473</w:t>
            </w:r>
          </w:p>
        </w:tc>
        <w:tc>
          <w:tcPr>
            <w:tcW w:w="1559" w:type="dxa"/>
            <w:noWrap/>
            <w:hideMark/>
          </w:tcPr>
          <w:p w14:paraId="7FF1AA93" w14:textId="77777777"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0,1946</w:t>
            </w:r>
          </w:p>
        </w:tc>
        <w:tc>
          <w:tcPr>
            <w:tcW w:w="1731" w:type="dxa"/>
            <w:noWrap/>
            <w:hideMark/>
          </w:tcPr>
          <w:p w14:paraId="7529C6D4" w14:textId="4B12B616"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1.689</w:t>
            </w:r>
          </w:p>
        </w:tc>
        <w:tc>
          <w:tcPr>
            <w:tcW w:w="1530" w:type="dxa"/>
          </w:tcPr>
          <w:p w14:paraId="15E92F90" w14:textId="77777777"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p>
        </w:tc>
      </w:tr>
      <w:tr w:rsidR="0012522D" w:rsidRPr="00646FE9" w14:paraId="6160512E" w14:textId="2DD26B0D" w:rsidTr="00E1445F">
        <w:trPr>
          <w:cnfStyle w:val="000000100000" w:firstRow="0" w:lastRow="0" w:firstColumn="0" w:lastColumn="0" w:oddVBand="0" w:evenVBand="0" w:oddHBand="1" w:evenHBand="0" w:firstRowFirstColumn="0" w:firstRowLastColumn="0" w:lastRowFirstColumn="0" w:lastRowLastColumn="0"/>
          <w:trHeight w:val="68"/>
          <w:jc w:val="right"/>
        </w:trPr>
        <w:tc>
          <w:tcPr>
            <w:cnfStyle w:val="001000000000" w:firstRow="0" w:lastRow="0" w:firstColumn="1" w:lastColumn="0" w:oddVBand="0" w:evenVBand="0" w:oddHBand="0" w:evenHBand="0" w:firstRowFirstColumn="0" w:firstRowLastColumn="0" w:lastRowFirstColumn="0" w:lastRowLastColumn="0"/>
            <w:tcW w:w="1115" w:type="dxa"/>
            <w:noWrap/>
            <w:hideMark/>
          </w:tcPr>
          <w:p w14:paraId="2EF8B870" w14:textId="77777777" w:rsidR="0012522D" w:rsidRPr="00646FE9" w:rsidRDefault="0012522D" w:rsidP="007301BF">
            <w:pPr>
              <w:spacing w:after="100" w:afterAutospacing="1"/>
              <w:jc w:val="center"/>
              <w:rPr>
                <w:color w:val="000000"/>
                <w:sz w:val="16"/>
                <w:szCs w:val="22"/>
              </w:rPr>
            </w:pPr>
            <w:r w:rsidRPr="00646FE9">
              <w:rPr>
                <w:color w:val="000000"/>
                <w:sz w:val="16"/>
                <w:szCs w:val="22"/>
              </w:rPr>
              <w:t>1996</w:t>
            </w:r>
          </w:p>
        </w:tc>
        <w:tc>
          <w:tcPr>
            <w:tcW w:w="1857" w:type="dxa"/>
            <w:noWrap/>
            <w:hideMark/>
          </w:tcPr>
          <w:p w14:paraId="16C85FC8" w14:textId="626EAA59"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2.692</w:t>
            </w:r>
          </w:p>
        </w:tc>
        <w:tc>
          <w:tcPr>
            <w:tcW w:w="1559" w:type="dxa"/>
            <w:noWrap/>
            <w:hideMark/>
          </w:tcPr>
          <w:p w14:paraId="0139C0E8" w14:textId="77777777"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0,2163</w:t>
            </w:r>
          </w:p>
        </w:tc>
        <w:tc>
          <w:tcPr>
            <w:tcW w:w="1731" w:type="dxa"/>
            <w:noWrap/>
            <w:hideMark/>
          </w:tcPr>
          <w:p w14:paraId="1FAA3FDA" w14:textId="2E7775F8"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1.511</w:t>
            </w:r>
          </w:p>
        </w:tc>
        <w:tc>
          <w:tcPr>
            <w:tcW w:w="1530" w:type="dxa"/>
          </w:tcPr>
          <w:p w14:paraId="7C618CFD" w14:textId="77777777"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p>
        </w:tc>
      </w:tr>
      <w:tr w:rsidR="0012522D" w:rsidRPr="00646FE9" w14:paraId="045FDB95" w14:textId="456AB9C0" w:rsidTr="00E1445F">
        <w:trPr>
          <w:trHeight w:val="68"/>
          <w:jc w:val="right"/>
        </w:trPr>
        <w:tc>
          <w:tcPr>
            <w:cnfStyle w:val="001000000000" w:firstRow="0" w:lastRow="0" w:firstColumn="1" w:lastColumn="0" w:oddVBand="0" w:evenVBand="0" w:oddHBand="0" w:evenHBand="0" w:firstRowFirstColumn="0" w:firstRowLastColumn="0" w:lastRowFirstColumn="0" w:lastRowLastColumn="0"/>
            <w:tcW w:w="1115" w:type="dxa"/>
            <w:noWrap/>
            <w:hideMark/>
          </w:tcPr>
          <w:p w14:paraId="471745E3" w14:textId="77777777" w:rsidR="0012522D" w:rsidRPr="00646FE9" w:rsidRDefault="0012522D" w:rsidP="007301BF">
            <w:pPr>
              <w:spacing w:after="100" w:afterAutospacing="1"/>
              <w:jc w:val="center"/>
              <w:rPr>
                <w:color w:val="000000"/>
                <w:sz w:val="16"/>
                <w:szCs w:val="22"/>
              </w:rPr>
            </w:pPr>
            <w:r w:rsidRPr="00646FE9">
              <w:rPr>
                <w:color w:val="000000"/>
                <w:sz w:val="16"/>
                <w:szCs w:val="22"/>
              </w:rPr>
              <w:t>1997</w:t>
            </w:r>
          </w:p>
        </w:tc>
        <w:tc>
          <w:tcPr>
            <w:tcW w:w="1857" w:type="dxa"/>
            <w:noWrap/>
            <w:hideMark/>
          </w:tcPr>
          <w:p w14:paraId="62E0F479" w14:textId="5F86C72D"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5.909</w:t>
            </w:r>
          </w:p>
        </w:tc>
        <w:tc>
          <w:tcPr>
            <w:tcW w:w="1559" w:type="dxa"/>
            <w:noWrap/>
            <w:hideMark/>
          </w:tcPr>
          <w:p w14:paraId="53499192" w14:textId="77777777"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0,1768</w:t>
            </w:r>
          </w:p>
        </w:tc>
        <w:tc>
          <w:tcPr>
            <w:tcW w:w="1731" w:type="dxa"/>
            <w:noWrap/>
            <w:hideMark/>
          </w:tcPr>
          <w:p w14:paraId="48627644" w14:textId="595C221C"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2.819</w:t>
            </w:r>
          </w:p>
        </w:tc>
        <w:tc>
          <w:tcPr>
            <w:tcW w:w="1530" w:type="dxa"/>
          </w:tcPr>
          <w:p w14:paraId="2A64CDB2" w14:textId="77777777"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p>
        </w:tc>
      </w:tr>
      <w:tr w:rsidR="0012522D" w:rsidRPr="00646FE9" w14:paraId="6D52D319" w14:textId="7834026C" w:rsidTr="00E1445F">
        <w:trPr>
          <w:cnfStyle w:val="000000100000" w:firstRow="0" w:lastRow="0" w:firstColumn="0" w:lastColumn="0" w:oddVBand="0" w:evenVBand="0" w:oddHBand="1" w:evenHBand="0" w:firstRowFirstColumn="0" w:firstRowLastColumn="0" w:lastRowFirstColumn="0" w:lastRowLastColumn="0"/>
          <w:trHeight w:val="157"/>
          <w:jc w:val="right"/>
        </w:trPr>
        <w:tc>
          <w:tcPr>
            <w:cnfStyle w:val="001000000000" w:firstRow="0" w:lastRow="0" w:firstColumn="1" w:lastColumn="0" w:oddVBand="0" w:evenVBand="0" w:oddHBand="0" w:evenHBand="0" w:firstRowFirstColumn="0" w:firstRowLastColumn="0" w:lastRowFirstColumn="0" w:lastRowLastColumn="0"/>
            <w:tcW w:w="1115" w:type="dxa"/>
            <w:noWrap/>
            <w:hideMark/>
          </w:tcPr>
          <w:p w14:paraId="6C77A48A" w14:textId="77777777" w:rsidR="0012522D" w:rsidRPr="00646FE9" w:rsidRDefault="0012522D" w:rsidP="007301BF">
            <w:pPr>
              <w:spacing w:after="100" w:afterAutospacing="1"/>
              <w:jc w:val="center"/>
              <w:rPr>
                <w:color w:val="000000"/>
                <w:sz w:val="16"/>
                <w:szCs w:val="22"/>
              </w:rPr>
            </w:pPr>
            <w:r w:rsidRPr="00646FE9">
              <w:rPr>
                <w:color w:val="000000"/>
                <w:sz w:val="16"/>
                <w:szCs w:val="22"/>
              </w:rPr>
              <w:t>1998</w:t>
            </w:r>
          </w:p>
        </w:tc>
        <w:tc>
          <w:tcPr>
            <w:tcW w:w="1857" w:type="dxa"/>
            <w:noWrap/>
            <w:hideMark/>
          </w:tcPr>
          <w:p w14:paraId="44F031ED" w14:textId="0731D357"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5.780</w:t>
            </w:r>
          </w:p>
        </w:tc>
        <w:tc>
          <w:tcPr>
            <w:tcW w:w="1559" w:type="dxa"/>
            <w:noWrap/>
            <w:hideMark/>
          </w:tcPr>
          <w:p w14:paraId="2D5F8A58" w14:textId="77777777"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0,1670</w:t>
            </w:r>
          </w:p>
        </w:tc>
        <w:tc>
          <w:tcPr>
            <w:tcW w:w="1731" w:type="dxa"/>
            <w:noWrap/>
            <w:hideMark/>
          </w:tcPr>
          <w:p w14:paraId="454B1AE0" w14:textId="20B3B2EF"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2.363</w:t>
            </w:r>
          </w:p>
        </w:tc>
        <w:tc>
          <w:tcPr>
            <w:tcW w:w="1530" w:type="dxa"/>
          </w:tcPr>
          <w:p w14:paraId="7E4DE47D" w14:textId="77777777"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p>
        </w:tc>
      </w:tr>
      <w:tr w:rsidR="0012522D" w:rsidRPr="00646FE9" w14:paraId="0CE9D523" w14:textId="0D4387F9" w:rsidTr="00E1445F">
        <w:trPr>
          <w:trHeight w:val="203"/>
          <w:jc w:val="right"/>
        </w:trPr>
        <w:tc>
          <w:tcPr>
            <w:cnfStyle w:val="001000000000" w:firstRow="0" w:lastRow="0" w:firstColumn="1" w:lastColumn="0" w:oddVBand="0" w:evenVBand="0" w:oddHBand="0" w:evenHBand="0" w:firstRowFirstColumn="0" w:firstRowLastColumn="0" w:lastRowFirstColumn="0" w:lastRowLastColumn="0"/>
            <w:tcW w:w="1115" w:type="dxa"/>
            <w:noWrap/>
            <w:hideMark/>
          </w:tcPr>
          <w:p w14:paraId="1D794A1D" w14:textId="77777777" w:rsidR="0012522D" w:rsidRPr="00646FE9" w:rsidRDefault="0012522D" w:rsidP="007301BF">
            <w:pPr>
              <w:spacing w:after="100" w:afterAutospacing="1"/>
              <w:jc w:val="center"/>
              <w:rPr>
                <w:color w:val="000000"/>
                <w:sz w:val="16"/>
                <w:szCs w:val="22"/>
              </w:rPr>
            </w:pPr>
            <w:r w:rsidRPr="00646FE9">
              <w:rPr>
                <w:color w:val="000000"/>
                <w:sz w:val="16"/>
                <w:szCs w:val="22"/>
              </w:rPr>
              <w:t>1999</w:t>
            </w:r>
          </w:p>
        </w:tc>
        <w:tc>
          <w:tcPr>
            <w:tcW w:w="1857" w:type="dxa"/>
            <w:noWrap/>
            <w:hideMark/>
          </w:tcPr>
          <w:p w14:paraId="511D00E4" w14:textId="56B11C0C"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6.361</w:t>
            </w:r>
          </w:p>
        </w:tc>
        <w:tc>
          <w:tcPr>
            <w:tcW w:w="1559" w:type="dxa"/>
            <w:noWrap/>
            <w:hideMark/>
          </w:tcPr>
          <w:p w14:paraId="11D0E0AE" w14:textId="77777777"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0,0923</w:t>
            </w:r>
          </w:p>
        </w:tc>
        <w:tc>
          <w:tcPr>
            <w:tcW w:w="1731" w:type="dxa"/>
            <w:noWrap/>
            <w:hideMark/>
          </w:tcPr>
          <w:p w14:paraId="15482CC2" w14:textId="0AA703AB"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2.381</w:t>
            </w:r>
          </w:p>
        </w:tc>
        <w:tc>
          <w:tcPr>
            <w:tcW w:w="1530" w:type="dxa"/>
          </w:tcPr>
          <w:p w14:paraId="72C418F8" w14:textId="77777777"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p>
        </w:tc>
      </w:tr>
      <w:tr w:rsidR="0012522D" w:rsidRPr="00646FE9" w14:paraId="0CD6A9F7" w14:textId="67FEE72A" w:rsidTr="00E1445F">
        <w:trPr>
          <w:cnfStyle w:val="000000100000" w:firstRow="0" w:lastRow="0" w:firstColumn="0" w:lastColumn="0" w:oddVBand="0" w:evenVBand="0" w:oddHBand="1" w:evenHBand="0" w:firstRowFirstColumn="0" w:firstRowLastColumn="0" w:lastRowFirstColumn="0" w:lastRowLastColumn="0"/>
          <w:trHeight w:val="109"/>
          <w:jc w:val="right"/>
        </w:trPr>
        <w:tc>
          <w:tcPr>
            <w:cnfStyle w:val="001000000000" w:firstRow="0" w:lastRow="0" w:firstColumn="1" w:lastColumn="0" w:oddVBand="0" w:evenVBand="0" w:oddHBand="0" w:evenHBand="0" w:firstRowFirstColumn="0" w:firstRowLastColumn="0" w:lastRowFirstColumn="0" w:lastRowLastColumn="0"/>
            <w:tcW w:w="1115" w:type="dxa"/>
            <w:noWrap/>
            <w:hideMark/>
          </w:tcPr>
          <w:p w14:paraId="01A25E36" w14:textId="77777777" w:rsidR="0012522D" w:rsidRPr="00646FE9" w:rsidRDefault="0012522D" w:rsidP="007301BF">
            <w:pPr>
              <w:spacing w:after="100" w:afterAutospacing="1"/>
              <w:jc w:val="center"/>
              <w:rPr>
                <w:color w:val="000000"/>
                <w:sz w:val="16"/>
                <w:szCs w:val="22"/>
              </w:rPr>
            </w:pPr>
            <w:r w:rsidRPr="00646FE9">
              <w:rPr>
                <w:color w:val="000000"/>
                <w:sz w:val="16"/>
                <w:szCs w:val="22"/>
              </w:rPr>
              <w:t>2000</w:t>
            </w:r>
          </w:p>
        </w:tc>
        <w:tc>
          <w:tcPr>
            <w:tcW w:w="1857" w:type="dxa"/>
            <w:noWrap/>
            <w:hideMark/>
          </w:tcPr>
          <w:p w14:paraId="4D04DD76" w14:textId="11AB8AE2"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8.655</w:t>
            </w:r>
          </w:p>
        </w:tc>
        <w:tc>
          <w:tcPr>
            <w:tcW w:w="1559" w:type="dxa"/>
            <w:noWrap/>
            <w:hideMark/>
          </w:tcPr>
          <w:p w14:paraId="718C3CD3" w14:textId="77777777"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0,0875</w:t>
            </w:r>
          </w:p>
        </w:tc>
        <w:tc>
          <w:tcPr>
            <w:tcW w:w="1731" w:type="dxa"/>
            <w:noWrap/>
            <w:hideMark/>
          </w:tcPr>
          <w:p w14:paraId="2C066829" w14:textId="09171756"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2.979</w:t>
            </w:r>
          </w:p>
        </w:tc>
        <w:tc>
          <w:tcPr>
            <w:tcW w:w="1530" w:type="dxa"/>
          </w:tcPr>
          <w:p w14:paraId="38F726E0" w14:textId="77777777"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p>
        </w:tc>
      </w:tr>
      <w:tr w:rsidR="0012522D" w:rsidRPr="00646FE9" w14:paraId="5ED0F54B" w14:textId="7C9B396F" w:rsidTr="00E1445F">
        <w:trPr>
          <w:trHeight w:val="84"/>
          <w:jc w:val="right"/>
        </w:trPr>
        <w:tc>
          <w:tcPr>
            <w:cnfStyle w:val="001000000000" w:firstRow="0" w:lastRow="0" w:firstColumn="1" w:lastColumn="0" w:oddVBand="0" w:evenVBand="0" w:oddHBand="0" w:evenHBand="0" w:firstRowFirstColumn="0" w:firstRowLastColumn="0" w:lastRowFirstColumn="0" w:lastRowLastColumn="0"/>
            <w:tcW w:w="1115" w:type="dxa"/>
            <w:noWrap/>
            <w:hideMark/>
          </w:tcPr>
          <w:p w14:paraId="22431DA2" w14:textId="77777777" w:rsidR="0012522D" w:rsidRPr="00646FE9" w:rsidRDefault="0012522D" w:rsidP="007301BF">
            <w:pPr>
              <w:spacing w:after="100" w:afterAutospacing="1"/>
              <w:jc w:val="center"/>
              <w:rPr>
                <w:color w:val="000000"/>
                <w:sz w:val="16"/>
                <w:szCs w:val="22"/>
              </w:rPr>
            </w:pPr>
            <w:r w:rsidRPr="00646FE9">
              <w:rPr>
                <w:color w:val="000000"/>
                <w:sz w:val="16"/>
                <w:szCs w:val="22"/>
              </w:rPr>
              <w:t>2001</w:t>
            </w:r>
          </w:p>
        </w:tc>
        <w:tc>
          <w:tcPr>
            <w:tcW w:w="1857" w:type="dxa"/>
            <w:noWrap/>
            <w:hideMark/>
          </w:tcPr>
          <w:p w14:paraId="03D48C79" w14:textId="1AD64EDC"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8.184</w:t>
            </w:r>
          </w:p>
        </w:tc>
        <w:tc>
          <w:tcPr>
            <w:tcW w:w="1559" w:type="dxa"/>
            <w:noWrap/>
            <w:hideMark/>
          </w:tcPr>
          <w:p w14:paraId="69DF247C" w14:textId="77777777"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0,0765</w:t>
            </w:r>
          </w:p>
        </w:tc>
        <w:tc>
          <w:tcPr>
            <w:tcW w:w="1731" w:type="dxa"/>
            <w:noWrap/>
            <w:hideMark/>
          </w:tcPr>
          <w:p w14:paraId="3087A4FB" w14:textId="4BCAE746"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2.616</w:t>
            </w:r>
          </w:p>
        </w:tc>
        <w:tc>
          <w:tcPr>
            <w:tcW w:w="1530" w:type="dxa"/>
          </w:tcPr>
          <w:p w14:paraId="69F76443" w14:textId="77777777"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p>
        </w:tc>
      </w:tr>
      <w:tr w:rsidR="0012522D" w:rsidRPr="00646FE9" w14:paraId="5BCE4F0A" w14:textId="52CE51CE" w:rsidTr="00E1445F">
        <w:trPr>
          <w:cnfStyle w:val="000000100000" w:firstRow="0" w:lastRow="0" w:firstColumn="0" w:lastColumn="0" w:oddVBand="0" w:evenVBand="0" w:oddHBand="1" w:evenHBand="0" w:firstRowFirstColumn="0" w:firstRowLastColumn="0" w:lastRowFirstColumn="0" w:lastRowLastColumn="0"/>
          <w:trHeight w:val="203"/>
          <w:jc w:val="right"/>
        </w:trPr>
        <w:tc>
          <w:tcPr>
            <w:cnfStyle w:val="001000000000" w:firstRow="0" w:lastRow="0" w:firstColumn="1" w:lastColumn="0" w:oddVBand="0" w:evenVBand="0" w:oddHBand="0" w:evenHBand="0" w:firstRowFirstColumn="0" w:firstRowLastColumn="0" w:lastRowFirstColumn="0" w:lastRowLastColumn="0"/>
            <w:tcW w:w="1115" w:type="dxa"/>
            <w:noWrap/>
            <w:hideMark/>
          </w:tcPr>
          <w:p w14:paraId="115F1C5C" w14:textId="77777777" w:rsidR="0012522D" w:rsidRPr="00646FE9" w:rsidRDefault="0012522D" w:rsidP="007301BF">
            <w:pPr>
              <w:spacing w:after="100" w:afterAutospacing="1"/>
              <w:jc w:val="center"/>
              <w:rPr>
                <w:color w:val="000000"/>
                <w:sz w:val="16"/>
                <w:szCs w:val="22"/>
              </w:rPr>
            </w:pPr>
            <w:r w:rsidRPr="00646FE9">
              <w:rPr>
                <w:color w:val="000000"/>
                <w:sz w:val="16"/>
                <w:szCs w:val="22"/>
              </w:rPr>
              <w:t>2002</w:t>
            </w:r>
          </w:p>
        </w:tc>
        <w:tc>
          <w:tcPr>
            <w:tcW w:w="1857" w:type="dxa"/>
            <w:noWrap/>
            <w:hideMark/>
          </w:tcPr>
          <w:p w14:paraId="08CFAE4C" w14:textId="12E890A3"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7.269</w:t>
            </w:r>
          </w:p>
        </w:tc>
        <w:tc>
          <w:tcPr>
            <w:tcW w:w="1559" w:type="dxa"/>
            <w:noWrap/>
            <w:hideMark/>
          </w:tcPr>
          <w:p w14:paraId="15F9BF97" w14:textId="77777777"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0,0699</w:t>
            </w:r>
          </w:p>
        </w:tc>
        <w:tc>
          <w:tcPr>
            <w:tcW w:w="1731" w:type="dxa"/>
            <w:noWrap/>
            <w:hideMark/>
          </w:tcPr>
          <w:p w14:paraId="2937C6B1" w14:textId="496191DC"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2.172</w:t>
            </w:r>
          </w:p>
        </w:tc>
        <w:tc>
          <w:tcPr>
            <w:tcW w:w="1530" w:type="dxa"/>
          </w:tcPr>
          <w:p w14:paraId="50252227" w14:textId="77777777"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p>
        </w:tc>
      </w:tr>
      <w:tr w:rsidR="0012522D" w:rsidRPr="00646FE9" w14:paraId="5022EB9D" w14:textId="3B9C1599" w:rsidTr="00E1445F">
        <w:trPr>
          <w:trHeight w:val="105"/>
          <w:jc w:val="right"/>
        </w:trPr>
        <w:tc>
          <w:tcPr>
            <w:cnfStyle w:val="001000000000" w:firstRow="0" w:lastRow="0" w:firstColumn="1" w:lastColumn="0" w:oddVBand="0" w:evenVBand="0" w:oddHBand="0" w:evenHBand="0" w:firstRowFirstColumn="0" w:firstRowLastColumn="0" w:lastRowFirstColumn="0" w:lastRowLastColumn="0"/>
            <w:tcW w:w="1115" w:type="dxa"/>
            <w:noWrap/>
            <w:hideMark/>
          </w:tcPr>
          <w:p w14:paraId="14BB0B33" w14:textId="77777777" w:rsidR="0012522D" w:rsidRPr="00646FE9" w:rsidRDefault="0012522D" w:rsidP="007301BF">
            <w:pPr>
              <w:spacing w:after="100" w:afterAutospacing="1"/>
              <w:jc w:val="center"/>
              <w:rPr>
                <w:color w:val="000000"/>
                <w:sz w:val="16"/>
                <w:szCs w:val="22"/>
              </w:rPr>
            </w:pPr>
            <w:r w:rsidRPr="00646FE9">
              <w:rPr>
                <w:color w:val="000000"/>
                <w:sz w:val="16"/>
                <w:szCs w:val="22"/>
              </w:rPr>
              <w:t>2003</w:t>
            </w:r>
          </w:p>
        </w:tc>
        <w:tc>
          <w:tcPr>
            <w:tcW w:w="1857" w:type="dxa"/>
            <w:noWrap/>
            <w:hideMark/>
          </w:tcPr>
          <w:p w14:paraId="66A971D3" w14:textId="1DA7C310"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12.625</w:t>
            </w:r>
          </w:p>
        </w:tc>
        <w:tc>
          <w:tcPr>
            <w:tcW w:w="1559" w:type="dxa"/>
            <w:noWrap/>
            <w:hideMark/>
          </w:tcPr>
          <w:p w14:paraId="1B3CAE85" w14:textId="77777777"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0,0649</w:t>
            </w:r>
          </w:p>
        </w:tc>
        <w:tc>
          <w:tcPr>
            <w:tcW w:w="1731" w:type="dxa"/>
            <w:noWrap/>
            <w:hideMark/>
          </w:tcPr>
          <w:p w14:paraId="01FFDF37" w14:textId="713EB1CD"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3.542</w:t>
            </w:r>
          </w:p>
        </w:tc>
        <w:tc>
          <w:tcPr>
            <w:tcW w:w="1530" w:type="dxa"/>
          </w:tcPr>
          <w:p w14:paraId="6DF569D8" w14:textId="77777777"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p>
        </w:tc>
      </w:tr>
      <w:tr w:rsidR="0012522D" w:rsidRPr="00646FE9" w14:paraId="59F6ABBA" w14:textId="7AEA6672" w:rsidTr="00E1445F">
        <w:trPr>
          <w:cnfStyle w:val="000000100000" w:firstRow="0" w:lastRow="0" w:firstColumn="0" w:lastColumn="0" w:oddVBand="0" w:evenVBand="0" w:oddHBand="1" w:evenHBand="0" w:firstRowFirstColumn="0" w:firstRowLastColumn="0" w:lastRowFirstColumn="0" w:lastRowLastColumn="0"/>
          <w:trHeight w:val="168"/>
          <w:jc w:val="right"/>
        </w:trPr>
        <w:tc>
          <w:tcPr>
            <w:cnfStyle w:val="001000000000" w:firstRow="0" w:lastRow="0" w:firstColumn="1" w:lastColumn="0" w:oddVBand="0" w:evenVBand="0" w:oddHBand="0" w:evenHBand="0" w:firstRowFirstColumn="0" w:firstRowLastColumn="0" w:lastRowFirstColumn="0" w:lastRowLastColumn="0"/>
            <w:tcW w:w="1115" w:type="dxa"/>
            <w:noWrap/>
            <w:hideMark/>
          </w:tcPr>
          <w:p w14:paraId="66B5CD70" w14:textId="77777777" w:rsidR="0012522D" w:rsidRPr="00646FE9" w:rsidRDefault="0012522D" w:rsidP="007301BF">
            <w:pPr>
              <w:spacing w:after="100" w:afterAutospacing="1"/>
              <w:jc w:val="center"/>
              <w:rPr>
                <w:color w:val="000000"/>
                <w:sz w:val="16"/>
                <w:szCs w:val="22"/>
              </w:rPr>
            </w:pPr>
            <w:r w:rsidRPr="00646FE9">
              <w:rPr>
                <w:color w:val="000000"/>
                <w:sz w:val="16"/>
                <w:szCs w:val="22"/>
              </w:rPr>
              <w:t>2004</w:t>
            </w:r>
          </w:p>
        </w:tc>
        <w:tc>
          <w:tcPr>
            <w:tcW w:w="1857" w:type="dxa"/>
            <w:noWrap/>
            <w:hideMark/>
          </w:tcPr>
          <w:p w14:paraId="679725A4" w14:textId="3505C039"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16.894</w:t>
            </w:r>
          </w:p>
        </w:tc>
        <w:tc>
          <w:tcPr>
            <w:tcW w:w="1559" w:type="dxa"/>
            <w:noWrap/>
            <w:hideMark/>
          </w:tcPr>
          <w:p w14:paraId="0EA6AC1D" w14:textId="77777777"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0,055</w:t>
            </w:r>
          </w:p>
        </w:tc>
        <w:tc>
          <w:tcPr>
            <w:tcW w:w="1731" w:type="dxa"/>
            <w:noWrap/>
            <w:hideMark/>
          </w:tcPr>
          <w:p w14:paraId="2B25889D" w14:textId="3768D4B7"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4.493</w:t>
            </w:r>
          </w:p>
        </w:tc>
        <w:tc>
          <w:tcPr>
            <w:tcW w:w="1530" w:type="dxa"/>
          </w:tcPr>
          <w:p w14:paraId="0D6921AC" w14:textId="77777777"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p>
        </w:tc>
      </w:tr>
      <w:tr w:rsidR="0012522D" w:rsidRPr="00646FE9" w14:paraId="4E0069C7" w14:textId="153D7983" w:rsidTr="00E1445F">
        <w:trPr>
          <w:trHeight w:val="68"/>
          <w:jc w:val="right"/>
        </w:trPr>
        <w:tc>
          <w:tcPr>
            <w:cnfStyle w:val="001000000000" w:firstRow="0" w:lastRow="0" w:firstColumn="1" w:lastColumn="0" w:oddVBand="0" w:evenVBand="0" w:oddHBand="0" w:evenHBand="0" w:firstRowFirstColumn="0" w:firstRowLastColumn="0" w:lastRowFirstColumn="0" w:lastRowLastColumn="0"/>
            <w:tcW w:w="1115" w:type="dxa"/>
            <w:noWrap/>
            <w:hideMark/>
          </w:tcPr>
          <w:p w14:paraId="6726DD5A" w14:textId="77777777" w:rsidR="0012522D" w:rsidRPr="00646FE9" w:rsidRDefault="0012522D" w:rsidP="007301BF">
            <w:pPr>
              <w:spacing w:after="100" w:afterAutospacing="1"/>
              <w:jc w:val="center"/>
              <w:rPr>
                <w:color w:val="000000"/>
                <w:sz w:val="16"/>
                <w:szCs w:val="22"/>
              </w:rPr>
            </w:pPr>
            <w:r w:rsidRPr="00646FE9">
              <w:rPr>
                <w:color w:val="000000"/>
                <w:sz w:val="16"/>
                <w:szCs w:val="22"/>
              </w:rPr>
              <w:t>2005</w:t>
            </w:r>
          </w:p>
        </w:tc>
        <w:tc>
          <w:tcPr>
            <w:tcW w:w="1857" w:type="dxa"/>
            <w:noWrap/>
            <w:hideMark/>
          </w:tcPr>
          <w:p w14:paraId="5906BD48" w14:textId="00D7D822"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17.810</w:t>
            </w:r>
          </w:p>
        </w:tc>
        <w:tc>
          <w:tcPr>
            <w:tcW w:w="1559" w:type="dxa"/>
            <w:noWrap/>
            <w:hideMark/>
          </w:tcPr>
          <w:p w14:paraId="57392B08" w14:textId="77777777"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0,0485</w:t>
            </w:r>
          </w:p>
        </w:tc>
        <w:tc>
          <w:tcPr>
            <w:tcW w:w="1731" w:type="dxa"/>
            <w:noWrap/>
            <w:hideMark/>
          </w:tcPr>
          <w:p w14:paraId="4734C1ED" w14:textId="2A8FF99C"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4.518</w:t>
            </w:r>
          </w:p>
        </w:tc>
        <w:tc>
          <w:tcPr>
            <w:tcW w:w="1530" w:type="dxa"/>
          </w:tcPr>
          <w:p w14:paraId="726B48A4" w14:textId="77777777"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p>
        </w:tc>
      </w:tr>
      <w:tr w:rsidR="0012522D" w:rsidRPr="00646FE9" w14:paraId="52193498" w14:textId="18CEA24F" w:rsidTr="00E1445F">
        <w:trPr>
          <w:cnfStyle w:val="000000100000" w:firstRow="0" w:lastRow="0" w:firstColumn="0" w:lastColumn="0" w:oddVBand="0" w:evenVBand="0" w:oddHBand="1" w:evenHBand="0" w:firstRowFirstColumn="0" w:firstRowLastColumn="0" w:lastRowFirstColumn="0" w:lastRowLastColumn="0"/>
          <w:trHeight w:val="120"/>
          <w:jc w:val="right"/>
        </w:trPr>
        <w:tc>
          <w:tcPr>
            <w:cnfStyle w:val="001000000000" w:firstRow="0" w:lastRow="0" w:firstColumn="1" w:lastColumn="0" w:oddVBand="0" w:evenVBand="0" w:oddHBand="0" w:evenHBand="0" w:firstRowFirstColumn="0" w:firstRowLastColumn="0" w:lastRowFirstColumn="0" w:lastRowLastColumn="0"/>
            <w:tcW w:w="1115" w:type="dxa"/>
            <w:noWrap/>
            <w:hideMark/>
          </w:tcPr>
          <w:p w14:paraId="00E6D87B" w14:textId="77777777" w:rsidR="0012522D" w:rsidRPr="00646FE9" w:rsidRDefault="0012522D" w:rsidP="007301BF">
            <w:pPr>
              <w:spacing w:after="100" w:afterAutospacing="1"/>
              <w:jc w:val="center"/>
              <w:rPr>
                <w:color w:val="000000"/>
                <w:sz w:val="16"/>
                <w:szCs w:val="22"/>
              </w:rPr>
            </w:pPr>
            <w:r w:rsidRPr="00646FE9">
              <w:rPr>
                <w:color w:val="000000"/>
                <w:sz w:val="16"/>
                <w:szCs w:val="22"/>
              </w:rPr>
              <w:t>2006</w:t>
            </w:r>
          </w:p>
        </w:tc>
        <w:tc>
          <w:tcPr>
            <w:tcW w:w="1857" w:type="dxa"/>
            <w:noWrap/>
            <w:hideMark/>
          </w:tcPr>
          <w:p w14:paraId="330B8A5A" w14:textId="52B41E0F"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22.417</w:t>
            </w:r>
          </w:p>
        </w:tc>
        <w:tc>
          <w:tcPr>
            <w:tcW w:w="1559" w:type="dxa"/>
            <w:noWrap/>
            <w:hideMark/>
          </w:tcPr>
          <w:p w14:paraId="684EA0A2" w14:textId="77777777"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0,0498</w:t>
            </w:r>
          </w:p>
        </w:tc>
        <w:tc>
          <w:tcPr>
            <w:tcW w:w="1731" w:type="dxa"/>
            <w:noWrap/>
            <w:hideMark/>
          </w:tcPr>
          <w:p w14:paraId="2B7567BB" w14:textId="1D602EFB"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5.417</w:t>
            </w:r>
          </w:p>
        </w:tc>
        <w:tc>
          <w:tcPr>
            <w:tcW w:w="1530" w:type="dxa"/>
          </w:tcPr>
          <w:p w14:paraId="4A356560" w14:textId="77777777"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p>
        </w:tc>
      </w:tr>
      <w:tr w:rsidR="0012522D" w:rsidRPr="00646FE9" w14:paraId="0DEC0804" w14:textId="7D7EE1F2" w:rsidTr="00E1445F">
        <w:trPr>
          <w:trHeight w:val="96"/>
          <w:jc w:val="right"/>
        </w:trPr>
        <w:tc>
          <w:tcPr>
            <w:cnfStyle w:val="001000000000" w:firstRow="0" w:lastRow="0" w:firstColumn="1" w:lastColumn="0" w:oddVBand="0" w:evenVBand="0" w:oddHBand="0" w:evenHBand="0" w:firstRowFirstColumn="0" w:firstRowLastColumn="0" w:lastRowFirstColumn="0" w:lastRowLastColumn="0"/>
            <w:tcW w:w="1115" w:type="dxa"/>
            <w:noWrap/>
            <w:hideMark/>
          </w:tcPr>
          <w:p w14:paraId="2C0385E2" w14:textId="77777777" w:rsidR="0012522D" w:rsidRPr="00646FE9" w:rsidRDefault="0012522D" w:rsidP="007301BF">
            <w:pPr>
              <w:spacing w:after="100" w:afterAutospacing="1"/>
              <w:jc w:val="center"/>
              <w:rPr>
                <w:color w:val="000000"/>
                <w:sz w:val="16"/>
                <w:szCs w:val="22"/>
              </w:rPr>
            </w:pPr>
            <w:r w:rsidRPr="00646FE9">
              <w:rPr>
                <w:color w:val="000000"/>
                <w:sz w:val="16"/>
                <w:szCs w:val="22"/>
              </w:rPr>
              <w:t>2007</w:t>
            </w:r>
          </w:p>
        </w:tc>
        <w:tc>
          <w:tcPr>
            <w:tcW w:w="1857" w:type="dxa"/>
            <w:noWrap/>
            <w:hideMark/>
          </w:tcPr>
          <w:p w14:paraId="1E3400B3" w14:textId="59E9A601"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29.766</w:t>
            </w:r>
          </w:p>
        </w:tc>
        <w:tc>
          <w:tcPr>
            <w:tcW w:w="1559" w:type="dxa"/>
            <w:noWrap/>
            <w:hideMark/>
          </w:tcPr>
          <w:p w14:paraId="75D6FF1F" w14:textId="77777777"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0,0567</w:t>
            </w:r>
          </w:p>
        </w:tc>
        <w:tc>
          <w:tcPr>
            <w:tcW w:w="1731" w:type="dxa"/>
            <w:noWrap/>
            <w:hideMark/>
          </w:tcPr>
          <w:p w14:paraId="54063A01" w14:textId="342A80E2"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6.806</w:t>
            </w:r>
          </w:p>
        </w:tc>
        <w:tc>
          <w:tcPr>
            <w:tcW w:w="1530" w:type="dxa"/>
          </w:tcPr>
          <w:p w14:paraId="07AF0B76" w14:textId="77777777"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p>
        </w:tc>
      </w:tr>
      <w:tr w:rsidR="0012522D" w:rsidRPr="00646FE9" w14:paraId="58A8FA51" w14:textId="61575BCC" w:rsidTr="00E1445F">
        <w:trPr>
          <w:cnfStyle w:val="000000100000" w:firstRow="0" w:lastRow="0" w:firstColumn="0" w:lastColumn="0" w:oddVBand="0" w:evenVBand="0" w:oddHBand="1" w:evenHBand="0" w:firstRowFirstColumn="0" w:firstRowLastColumn="0" w:lastRowFirstColumn="0" w:lastRowLastColumn="0"/>
          <w:trHeight w:val="72"/>
          <w:jc w:val="right"/>
        </w:trPr>
        <w:tc>
          <w:tcPr>
            <w:cnfStyle w:val="001000000000" w:firstRow="0" w:lastRow="0" w:firstColumn="1" w:lastColumn="0" w:oddVBand="0" w:evenVBand="0" w:oddHBand="0" w:evenHBand="0" w:firstRowFirstColumn="0" w:firstRowLastColumn="0" w:lastRowFirstColumn="0" w:lastRowLastColumn="0"/>
            <w:tcW w:w="1115" w:type="dxa"/>
            <w:noWrap/>
            <w:hideMark/>
          </w:tcPr>
          <w:p w14:paraId="32FC3827" w14:textId="77777777" w:rsidR="0012522D" w:rsidRPr="00646FE9" w:rsidRDefault="0012522D" w:rsidP="007301BF">
            <w:pPr>
              <w:spacing w:after="100" w:afterAutospacing="1"/>
              <w:jc w:val="center"/>
              <w:rPr>
                <w:color w:val="000000"/>
                <w:sz w:val="16"/>
                <w:szCs w:val="22"/>
              </w:rPr>
            </w:pPr>
            <w:r w:rsidRPr="00646FE9">
              <w:rPr>
                <w:color w:val="000000"/>
                <w:sz w:val="16"/>
                <w:szCs w:val="22"/>
              </w:rPr>
              <w:lastRenderedPageBreak/>
              <w:t>2008</w:t>
            </w:r>
          </w:p>
        </w:tc>
        <w:tc>
          <w:tcPr>
            <w:tcW w:w="1857" w:type="dxa"/>
            <w:noWrap/>
            <w:hideMark/>
          </w:tcPr>
          <w:p w14:paraId="1102FA93" w14:textId="403D69B5"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33.149</w:t>
            </w:r>
          </w:p>
        </w:tc>
        <w:tc>
          <w:tcPr>
            <w:tcW w:w="1559" w:type="dxa"/>
            <w:noWrap/>
            <w:hideMark/>
          </w:tcPr>
          <w:p w14:paraId="346FACF8" w14:textId="77777777"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0,0767</w:t>
            </w:r>
          </w:p>
        </w:tc>
        <w:tc>
          <w:tcPr>
            <w:tcW w:w="1731" w:type="dxa"/>
            <w:noWrap/>
            <w:hideMark/>
          </w:tcPr>
          <w:p w14:paraId="3B4B73DF" w14:textId="4F3EC6BF"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7.040</w:t>
            </w:r>
          </w:p>
        </w:tc>
        <w:tc>
          <w:tcPr>
            <w:tcW w:w="1530" w:type="dxa"/>
          </w:tcPr>
          <w:p w14:paraId="6F698835" w14:textId="77777777"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p>
        </w:tc>
      </w:tr>
      <w:tr w:rsidR="0012522D" w:rsidRPr="00646FE9" w14:paraId="0D40AC65" w14:textId="3E9B570F" w:rsidTr="00E1445F">
        <w:trPr>
          <w:trHeight w:val="190"/>
          <w:jc w:val="right"/>
        </w:trPr>
        <w:tc>
          <w:tcPr>
            <w:cnfStyle w:val="001000000000" w:firstRow="0" w:lastRow="0" w:firstColumn="1" w:lastColumn="0" w:oddVBand="0" w:evenVBand="0" w:oddHBand="0" w:evenHBand="0" w:firstRowFirstColumn="0" w:firstRowLastColumn="0" w:lastRowFirstColumn="0" w:lastRowLastColumn="0"/>
            <w:tcW w:w="1115" w:type="dxa"/>
            <w:noWrap/>
            <w:hideMark/>
          </w:tcPr>
          <w:p w14:paraId="6597DA21" w14:textId="77777777" w:rsidR="0012522D" w:rsidRPr="00646FE9" w:rsidRDefault="0012522D" w:rsidP="007301BF">
            <w:pPr>
              <w:spacing w:after="100" w:afterAutospacing="1"/>
              <w:jc w:val="center"/>
              <w:rPr>
                <w:color w:val="000000"/>
                <w:sz w:val="16"/>
                <w:szCs w:val="22"/>
              </w:rPr>
            </w:pPr>
            <w:r w:rsidRPr="00646FE9">
              <w:rPr>
                <w:color w:val="000000"/>
                <w:sz w:val="16"/>
                <w:szCs w:val="22"/>
              </w:rPr>
              <w:t>2009</w:t>
            </w:r>
          </w:p>
        </w:tc>
        <w:tc>
          <w:tcPr>
            <w:tcW w:w="1857" w:type="dxa"/>
            <w:noWrap/>
            <w:hideMark/>
          </w:tcPr>
          <w:p w14:paraId="0D9802A0" w14:textId="6B744F2A"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41.337</w:t>
            </w:r>
          </w:p>
        </w:tc>
        <w:tc>
          <w:tcPr>
            <w:tcW w:w="1559" w:type="dxa"/>
            <w:noWrap/>
            <w:hideMark/>
          </w:tcPr>
          <w:p w14:paraId="4F56D554" w14:textId="77777777"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0,0200</w:t>
            </w:r>
          </w:p>
        </w:tc>
        <w:tc>
          <w:tcPr>
            <w:tcW w:w="1731" w:type="dxa"/>
            <w:noWrap/>
            <w:hideMark/>
          </w:tcPr>
          <w:p w14:paraId="5142DDB8" w14:textId="735D11A8"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8.607</w:t>
            </w:r>
          </w:p>
        </w:tc>
        <w:tc>
          <w:tcPr>
            <w:tcW w:w="1530" w:type="dxa"/>
          </w:tcPr>
          <w:p w14:paraId="6867B363" w14:textId="77777777"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p>
        </w:tc>
      </w:tr>
      <w:tr w:rsidR="0012522D" w:rsidRPr="00646FE9" w14:paraId="44A0EEA6" w14:textId="6D59CE1B" w:rsidTr="00E1445F">
        <w:trPr>
          <w:cnfStyle w:val="000000100000" w:firstRow="0" w:lastRow="0" w:firstColumn="0" w:lastColumn="0" w:oddVBand="0" w:evenVBand="0" w:oddHBand="1" w:evenHBand="0" w:firstRowFirstColumn="0" w:firstRowLastColumn="0" w:lastRowFirstColumn="0" w:lastRowLastColumn="0"/>
          <w:trHeight w:val="180"/>
          <w:jc w:val="right"/>
        </w:trPr>
        <w:tc>
          <w:tcPr>
            <w:cnfStyle w:val="001000000000" w:firstRow="0" w:lastRow="0" w:firstColumn="1" w:lastColumn="0" w:oddVBand="0" w:evenVBand="0" w:oddHBand="0" w:evenHBand="0" w:firstRowFirstColumn="0" w:firstRowLastColumn="0" w:lastRowFirstColumn="0" w:lastRowLastColumn="0"/>
            <w:tcW w:w="1115" w:type="dxa"/>
            <w:noWrap/>
            <w:hideMark/>
          </w:tcPr>
          <w:p w14:paraId="05225C49" w14:textId="77777777" w:rsidR="0012522D" w:rsidRPr="00646FE9" w:rsidRDefault="0012522D" w:rsidP="007301BF">
            <w:pPr>
              <w:spacing w:after="100" w:afterAutospacing="1"/>
              <w:jc w:val="center"/>
              <w:rPr>
                <w:color w:val="000000"/>
                <w:sz w:val="16"/>
                <w:szCs w:val="22"/>
              </w:rPr>
            </w:pPr>
            <w:r w:rsidRPr="00646FE9">
              <w:rPr>
                <w:color w:val="000000"/>
                <w:sz w:val="16"/>
                <w:szCs w:val="22"/>
              </w:rPr>
              <w:t>2010</w:t>
            </w:r>
          </w:p>
        </w:tc>
        <w:tc>
          <w:tcPr>
            <w:tcW w:w="1857" w:type="dxa"/>
            <w:noWrap/>
            <w:hideMark/>
          </w:tcPr>
          <w:p w14:paraId="123B1BD6" w14:textId="1B6F7F7A"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37.488</w:t>
            </w:r>
          </w:p>
        </w:tc>
        <w:tc>
          <w:tcPr>
            <w:tcW w:w="1559" w:type="dxa"/>
            <w:noWrap/>
            <w:hideMark/>
          </w:tcPr>
          <w:p w14:paraId="3AB9B9D0" w14:textId="77777777"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0,0317</w:t>
            </w:r>
          </w:p>
        </w:tc>
        <w:tc>
          <w:tcPr>
            <w:tcW w:w="1731" w:type="dxa"/>
            <w:noWrap/>
            <w:hideMark/>
          </w:tcPr>
          <w:p w14:paraId="021A439F" w14:textId="479F946C"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7.565</w:t>
            </w:r>
          </w:p>
        </w:tc>
        <w:tc>
          <w:tcPr>
            <w:tcW w:w="1530" w:type="dxa"/>
          </w:tcPr>
          <w:p w14:paraId="2944C64A" w14:textId="77777777"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p>
        </w:tc>
      </w:tr>
      <w:tr w:rsidR="0012522D" w:rsidRPr="00646FE9" w14:paraId="66BA4483" w14:textId="4E77CEB0" w:rsidTr="00E1445F">
        <w:trPr>
          <w:trHeight w:val="170"/>
          <w:jc w:val="right"/>
        </w:trPr>
        <w:tc>
          <w:tcPr>
            <w:cnfStyle w:val="001000000000" w:firstRow="0" w:lastRow="0" w:firstColumn="1" w:lastColumn="0" w:oddVBand="0" w:evenVBand="0" w:oddHBand="0" w:evenHBand="0" w:firstRowFirstColumn="0" w:firstRowLastColumn="0" w:lastRowFirstColumn="0" w:lastRowLastColumn="0"/>
            <w:tcW w:w="1115" w:type="dxa"/>
            <w:noWrap/>
            <w:hideMark/>
          </w:tcPr>
          <w:p w14:paraId="6CF01F82" w14:textId="77777777" w:rsidR="0012522D" w:rsidRPr="00646FE9" w:rsidRDefault="0012522D" w:rsidP="007301BF">
            <w:pPr>
              <w:spacing w:after="100" w:afterAutospacing="1"/>
              <w:jc w:val="center"/>
              <w:rPr>
                <w:color w:val="000000"/>
                <w:sz w:val="16"/>
                <w:szCs w:val="22"/>
              </w:rPr>
            </w:pPr>
            <w:r w:rsidRPr="00646FE9">
              <w:rPr>
                <w:color w:val="000000"/>
                <w:sz w:val="16"/>
                <w:szCs w:val="22"/>
              </w:rPr>
              <w:t>2011</w:t>
            </w:r>
          </w:p>
        </w:tc>
        <w:tc>
          <w:tcPr>
            <w:tcW w:w="1857" w:type="dxa"/>
            <w:noWrap/>
            <w:hideMark/>
          </w:tcPr>
          <w:p w14:paraId="52F5C0D3" w14:textId="3EF6A741"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35.696</w:t>
            </w:r>
          </w:p>
        </w:tc>
        <w:tc>
          <w:tcPr>
            <w:tcW w:w="1559" w:type="dxa"/>
            <w:noWrap/>
            <w:hideMark/>
          </w:tcPr>
          <w:p w14:paraId="6940639C" w14:textId="77777777"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0,0370</w:t>
            </w:r>
          </w:p>
        </w:tc>
        <w:tc>
          <w:tcPr>
            <w:tcW w:w="1731" w:type="dxa"/>
            <w:noWrap/>
            <w:hideMark/>
          </w:tcPr>
          <w:p w14:paraId="663A5420" w14:textId="42220041"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6.947</w:t>
            </w:r>
          </w:p>
        </w:tc>
        <w:tc>
          <w:tcPr>
            <w:tcW w:w="1530" w:type="dxa"/>
          </w:tcPr>
          <w:p w14:paraId="65410C8D" w14:textId="77777777"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p>
        </w:tc>
      </w:tr>
      <w:tr w:rsidR="0012522D" w:rsidRPr="00646FE9" w14:paraId="64C7BCA0" w14:textId="0B8B7C88" w:rsidTr="00E1445F">
        <w:trPr>
          <w:cnfStyle w:val="000000100000" w:firstRow="0" w:lastRow="0" w:firstColumn="0" w:lastColumn="0" w:oddVBand="0" w:evenVBand="0" w:oddHBand="1" w:evenHBand="0" w:firstRowFirstColumn="0" w:firstRowLastColumn="0" w:lastRowFirstColumn="0" w:lastRowLastColumn="0"/>
          <w:trHeight w:val="145"/>
          <w:jc w:val="right"/>
        </w:trPr>
        <w:tc>
          <w:tcPr>
            <w:cnfStyle w:val="001000000000" w:firstRow="0" w:lastRow="0" w:firstColumn="1" w:lastColumn="0" w:oddVBand="0" w:evenVBand="0" w:oddHBand="0" w:evenHBand="0" w:firstRowFirstColumn="0" w:firstRowLastColumn="0" w:lastRowFirstColumn="0" w:lastRowLastColumn="0"/>
            <w:tcW w:w="1115" w:type="dxa"/>
            <w:noWrap/>
            <w:hideMark/>
          </w:tcPr>
          <w:p w14:paraId="12E33D38" w14:textId="77777777" w:rsidR="0012522D" w:rsidRPr="00646FE9" w:rsidRDefault="0012522D" w:rsidP="007301BF">
            <w:pPr>
              <w:spacing w:after="100" w:afterAutospacing="1"/>
              <w:jc w:val="center"/>
              <w:rPr>
                <w:color w:val="000000"/>
                <w:sz w:val="16"/>
                <w:szCs w:val="22"/>
              </w:rPr>
            </w:pPr>
            <w:r w:rsidRPr="00646FE9">
              <w:rPr>
                <w:color w:val="000000"/>
                <w:sz w:val="16"/>
                <w:szCs w:val="22"/>
              </w:rPr>
              <w:t>2012</w:t>
            </w:r>
          </w:p>
        </w:tc>
        <w:tc>
          <w:tcPr>
            <w:tcW w:w="1857" w:type="dxa"/>
            <w:noWrap/>
            <w:hideMark/>
          </w:tcPr>
          <w:p w14:paraId="32B048D7" w14:textId="54D09EE8"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33.999</w:t>
            </w:r>
          </w:p>
        </w:tc>
        <w:tc>
          <w:tcPr>
            <w:tcW w:w="1559" w:type="dxa"/>
            <w:noWrap/>
            <w:hideMark/>
          </w:tcPr>
          <w:p w14:paraId="502EBE0F" w14:textId="77777777"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0,0244</w:t>
            </w:r>
          </w:p>
        </w:tc>
        <w:tc>
          <w:tcPr>
            <w:tcW w:w="1731" w:type="dxa"/>
            <w:noWrap/>
            <w:hideMark/>
          </w:tcPr>
          <w:p w14:paraId="2C3E1566" w14:textId="4BCB80E3"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6.459</w:t>
            </w:r>
          </w:p>
        </w:tc>
        <w:tc>
          <w:tcPr>
            <w:tcW w:w="1530" w:type="dxa"/>
          </w:tcPr>
          <w:p w14:paraId="013511D3" w14:textId="77777777"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p>
        </w:tc>
      </w:tr>
      <w:tr w:rsidR="0012522D" w:rsidRPr="00646FE9" w14:paraId="719B6AA0" w14:textId="6BF989C4" w:rsidTr="00E1445F">
        <w:trPr>
          <w:trHeight w:val="122"/>
          <w:jc w:val="right"/>
        </w:trPr>
        <w:tc>
          <w:tcPr>
            <w:cnfStyle w:val="001000000000" w:firstRow="0" w:lastRow="0" w:firstColumn="1" w:lastColumn="0" w:oddVBand="0" w:evenVBand="0" w:oddHBand="0" w:evenHBand="0" w:firstRowFirstColumn="0" w:firstRowLastColumn="0" w:lastRowFirstColumn="0" w:lastRowLastColumn="0"/>
            <w:tcW w:w="1115" w:type="dxa"/>
            <w:noWrap/>
            <w:hideMark/>
          </w:tcPr>
          <w:p w14:paraId="5D9C2668" w14:textId="77777777" w:rsidR="0012522D" w:rsidRPr="00646FE9" w:rsidRDefault="0012522D" w:rsidP="007301BF">
            <w:pPr>
              <w:spacing w:after="100" w:afterAutospacing="1"/>
              <w:jc w:val="center"/>
              <w:rPr>
                <w:color w:val="000000"/>
                <w:sz w:val="16"/>
                <w:szCs w:val="22"/>
              </w:rPr>
            </w:pPr>
            <w:r w:rsidRPr="00646FE9">
              <w:rPr>
                <w:color w:val="000000"/>
                <w:sz w:val="16"/>
                <w:szCs w:val="22"/>
              </w:rPr>
              <w:t>2013</w:t>
            </w:r>
          </w:p>
        </w:tc>
        <w:tc>
          <w:tcPr>
            <w:tcW w:w="1857" w:type="dxa"/>
            <w:noWrap/>
            <w:hideMark/>
          </w:tcPr>
          <w:p w14:paraId="4A7A4D48" w14:textId="31717B77"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34.867</w:t>
            </w:r>
          </w:p>
        </w:tc>
        <w:tc>
          <w:tcPr>
            <w:tcW w:w="1559" w:type="dxa"/>
            <w:noWrap/>
            <w:hideMark/>
          </w:tcPr>
          <w:p w14:paraId="2B6AC4DD" w14:textId="77777777"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0,0243</w:t>
            </w:r>
          </w:p>
        </w:tc>
        <w:tc>
          <w:tcPr>
            <w:tcW w:w="1731" w:type="dxa"/>
            <w:noWrap/>
            <w:hideMark/>
          </w:tcPr>
          <w:p w14:paraId="3A0F2216" w14:textId="07A3E525"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6.467</w:t>
            </w:r>
          </w:p>
        </w:tc>
        <w:tc>
          <w:tcPr>
            <w:tcW w:w="1530" w:type="dxa"/>
          </w:tcPr>
          <w:p w14:paraId="5F27144C" w14:textId="77777777"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p>
        </w:tc>
      </w:tr>
      <w:tr w:rsidR="0012522D" w:rsidRPr="00646FE9" w14:paraId="29CBB9CD" w14:textId="794282CB" w:rsidTr="00E1445F">
        <w:trPr>
          <w:cnfStyle w:val="000000100000" w:firstRow="0" w:lastRow="0" w:firstColumn="0" w:lastColumn="0" w:oddVBand="0" w:evenVBand="0" w:oddHBand="1" w:evenHBand="0" w:firstRowFirstColumn="0" w:firstRowLastColumn="0" w:lastRowFirstColumn="0" w:lastRowLastColumn="0"/>
          <w:trHeight w:val="239"/>
          <w:jc w:val="right"/>
        </w:trPr>
        <w:tc>
          <w:tcPr>
            <w:cnfStyle w:val="001000000000" w:firstRow="0" w:lastRow="0" w:firstColumn="1" w:lastColumn="0" w:oddVBand="0" w:evenVBand="0" w:oddHBand="0" w:evenHBand="0" w:firstRowFirstColumn="0" w:firstRowLastColumn="0" w:lastRowFirstColumn="0" w:lastRowLastColumn="0"/>
            <w:tcW w:w="1115" w:type="dxa"/>
            <w:noWrap/>
            <w:hideMark/>
          </w:tcPr>
          <w:p w14:paraId="725664A6" w14:textId="77777777" w:rsidR="0012522D" w:rsidRPr="00646FE9" w:rsidRDefault="0012522D" w:rsidP="007301BF">
            <w:pPr>
              <w:spacing w:after="100" w:afterAutospacing="1"/>
              <w:jc w:val="center"/>
              <w:rPr>
                <w:color w:val="000000"/>
                <w:sz w:val="16"/>
                <w:szCs w:val="22"/>
              </w:rPr>
            </w:pPr>
            <w:r w:rsidRPr="00646FE9">
              <w:rPr>
                <w:color w:val="000000"/>
                <w:sz w:val="16"/>
                <w:szCs w:val="22"/>
              </w:rPr>
              <w:t>2014</w:t>
            </w:r>
          </w:p>
        </w:tc>
        <w:tc>
          <w:tcPr>
            <w:tcW w:w="1857" w:type="dxa"/>
            <w:noWrap/>
            <w:hideMark/>
          </w:tcPr>
          <w:p w14:paraId="77601D20" w14:textId="004E8159"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41.781</w:t>
            </w:r>
          </w:p>
        </w:tc>
        <w:tc>
          <w:tcPr>
            <w:tcW w:w="1559" w:type="dxa"/>
            <w:noWrap/>
            <w:hideMark/>
          </w:tcPr>
          <w:p w14:paraId="68519300" w14:textId="77777777"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0,0366</w:t>
            </w:r>
          </w:p>
        </w:tc>
        <w:tc>
          <w:tcPr>
            <w:tcW w:w="1731" w:type="dxa"/>
            <w:noWrap/>
            <w:hideMark/>
          </w:tcPr>
          <w:p w14:paraId="1C815CA4" w14:textId="0E075592"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7.475</w:t>
            </w:r>
          </w:p>
        </w:tc>
        <w:tc>
          <w:tcPr>
            <w:tcW w:w="1530" w:type="dxa"/>
          </w:tcPr>
          <w:p w14:paraId="07A0A820" w14:textId="77777777"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p>
        </w:tc>
      </w:tr>
      <w:tr w:rsidR="0012522D" w:rsidRPr="00646FE9" w14:paraId="35C47284" w14:textId="395E8933" w:rsidTr="00E1445F">
        <w:trPr>
          <w:trHeight w:val="74"/>
          <w:jc w:val="right"/>
        </w:trPr>
        <w:tc>
          <w:tcPr>
            <w:cnfStyle w:val="001000000000" w:firstRow="0" w:lastRow="0" w:firstColumn="1" w:lastColumn="0" w:oddVBand="0" w:evenVBand="0" w:oddHBand="0" w:evenHBand="0" w:firstRowFirstColumn="0" w:firstRowLastColumn="0" w:lastRowFirstColumn="0" w:lastRowLastColumn="0"/>
            <w:tcW w:w="1115" w:type="dxa"/>
            <w:noWrap/>
            <w:hideMark/>
          </w:tcPr>
          <w:p w14:paraId="07A3A61F" w14:textId="77777777" w:rsidR="0012522D" w:rsidRPr="00646FE9" w:rsidRDefault="0012522D" w:rsidP="007301BF">
            <w:pPr>
              <w:spacing w:after="100" w:afterAutospacing="1"/>
              <w:jc w:val="center"/>
              <w:rPr>
                <w:color w:val="000000"/>
                <w:sz w:val="16"/>
                <w:szCs w:val="22"/>
              </w:rPr>
            </w:pPr>
            <w:r w:rsidRPr="00646FE9">
              <w:rPr>
                <w:color w:val="000000"/>
                <w:sz w:val="16"/>
                <w:szCs w:val="22"/>
              </w:rPr>
              <w:t>2015</w:t>
            </w:r>
          </w:p>
        </w:tc>
        <w:tc>
          <w:tcPr>
            <w:tcW w:w="1857" w:type="dxa"/>
            <w:noWrap/>
            <w:hideMark/>
          </w:tcPr>
          <w:p w14:paraId="2C28B307" w14:textId="746135A3"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47.380</w:t>
            </w:r>
          </w:p>
        </w:tc>
        <w:tc>
          <w:tcPr>
            <w:tcW w:w="1559" w:type="dxa"/>
            <w:noWrap/>
            <w:hideMark/>
          </w:tcPr>
          <w:p w14:paraId="41F7D656" w14:textId="77777777"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0,0677</w:t>
            </w:r>
          </w:p>
        </w:tc>
        <w:tc>
          <w:tcPr>
            <w:tcW w:w="1731" w:type="dxa"/>
            <w:noWrap/>
            <w:hideMark/>
          </w:tcPr>
          <w:p w14:paraId="5BE6868B" w14:textId="2474D958"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7.940</w:t>
            </w:r>
          </w:p>
        </w:tc>
        <w:tc>
          <w:tcPr>
            <w:tcW w:w="1530" w:type="dxa"/>
          </w:tcPr>
          <w:p w14:paraId="7AC23E7E" w14:textId="77777777"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p>
        </w:tc>
      </w:tr>
      <w:tr w:rsidR="0012522D" w:rsidRPr="00646FE9" w14:paraId="47B21A83" w14:textId="08E4673B" w:rsidTr="00E1445F">
        <w:trPr>
          <w:cnfStyle w:val="000000100000" w:firstRow="0" w:lastRow="0" w:firstColumn="0" w:lastColumn="0" w:oddVBand="0" w:evenVBand="0" w:oddHBand="1" w:evenHBand="0" w:firstRowFirstColumn="0" w:firstRowLastColumn="0" w:lastRowFirstColumn="0" w:lastRowLastColumn="0"/>
          <w:trHeight w:val="191"/>
          <w:jc w:val="right"/>
        </w:trPr>
        <w:tc>
          <w:tcPr>
            <w:cnfStyle w:val="001000000000" w:firstRow="0" w:lastRow="0" w:firstColumn="1" w:lastColumn="0" w:oddVBand="0" w:evenVBand="0" w:oddHBand="0" w:evenHBand="0" w:firstRowFirstColumn="0" w:firstRowLastColumn="0" w:lastRowFirstColumn="0" w:lastRowLastColumn="0"/>
            <w:tcW w:w="1115" w:type="dxa"/>
            <w:noWrap/>
            <w:hideMark/>
          </w:tcPr>
          <w:p w14:paraId="4C69FAA2" w14:textId="77777777" w:rsidR="0012522D" w:rsidRPr="00646FE9" w:rsidRDefault="0012522D" w:rsidP="007301BF">
            <w:pPr>
              <w:spacing w:after="100" w:afterAutospacing="1"/>
              <w:jc w:val="center"/>
              <w:rPr>
                <w:color w:val="000000"/>
                <w:sz w:val="16"/>
                <w:szCs w:val="22"/>
              </w:rPr>
            </w:pPr>
            <w:r w:rsidRPr="00646FE9">
              <w:rPr>
                <w:color w:val="000000"/>
                <w:sz w:val="16"/>
                <w:szCs w:val="22"/>
              </w:rPr>
              <w:t>2016</w:t>
            </w:r>
          </w:p>
        </w:tc>
        <w:tc>
          <w:tcPr>
            <w:tcW w:w="1857" w:type="dxa"/>
            <w:noWrap/>
            <w:hideMark/>
          </w:tcPr>
          <w:p w14:paraId="18C0FA09" w14:textId="1716747C"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56.096</w:t>
            </w:r>
          </w:p>
        </w:tc>
        <w:tc>
          <w:tcPr>
            <w:tcW w:w="1559" w:type="dxa"/>
            <w:noWrap/>
            <w:hideMark/>
          </w:tcPr>
          <w:p w14:paraId="76835021" w14:textId="77777777"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0,0575</w:t>
            </w:r>
          </w:p>
        </w:tc>
        <w:tc>
          <w:tcPr>
            <w:tcW w:w="1731" w:type="dxa"/>
            <w:noWrap/>
            <w:hideMark/>
          </w:tcPr>
          <w:p w14:paraId="26A5F4EE" w14:textId="6E51DCDF"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8.889</w:t>
            </w:r>
          </w:p>
        </w:tc>
        <w:tc>
          <w:tcPr>
            <w:tcW w:w="1530" w:type="dxa"/>
          </w:tcPr>
          <w:p w14:paraId="3D58F4DC" w14:textId="77777777"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p>
        </w:tc>
      </w:tr>
      <w:tr w:rsidR="0012522D" w:rsidRPr="00646FE9" w14:paraId="420E6B7F" w14:textId="18B67F21" w:rsidTr="00E1445F">
        <w:trPr>
          <w:trHeight w:val="68"/>
          <w:jc w:val="right"/>
        </w:trPr>
        <w:tc>
          <w:tcPr>
            <w:cnfStyle w:val="001000000000" w:firstRow="0" w:lastRow="0" w:firstColumn="1" w:lastColumn="0" w:oddVBand="0" w:evenVBand="0" w:oddHBand="0" w:evenHBand="0" w:firstRowFirstColumn="0" w:firstRowLastColumn="0" w:lastRowFirstColumn="0" w:lastRowLastColumn="0"/>
            <w:tcW w:w="1115" w:type="dxa"/>
            <w:noWrap/>
            <w:hideMark/>
          </w:tcPr>
          <w:p w14:paraId="16AFFB71" w14:textId="77777777" w:rsidR="0012522D" w:rsidRPr="00646FE9" w:rsidRDefault="0012522D" w:rsidP="007301BF">
            <w:pPr>
              <w:spacing w:after="100" w:afterAutospacing="1"/>
              <w:jc w:val="center"/>
              <w:rPr>
                <w:color w:val="000000"/>
                <w:sz w:val="16"/>
                <w:szCs w:val="22"/>
              </w:rPr>
            </w:pPr>
            <w:r w:rsidRPr="00646FE9">
              <w:rPr>
                <w:color w:val="000000"/>
                <w:sz w:val="16"/>
                <w:szCs w:val="22"/>
              </w:rPr>
              <w:t>2017</w:t>
            </w:r>
          </w:p>
        </w:tc>
        <w:tc>
          <w:tcPr>
            <w:tcW w:w="1857" w:type="dxa"/>
            <w:noWrap/>
            <w:hideMark/>
          </w:tcPr>
          <w:p w14:paraId="784DEE72" w14:textId="0BD9E088"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55.187</w:t>
            </w:r>
          </w:p>
        </w:tc>
        <w:tc>
          <w:tcPr>
            <w:tcW w:w="1559" w:type="dxa"/>
            <w:noWrap/>
            <w:hideMark/>
          </w:tcPr>
          <w:p w14:paraId="7B8364AA" w14:textId="77777777"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0,0409</w:t>
            </w:r>
          </w:p>
        </w:tc>
        <w:tc>
          <w:tcPr>
            <w:tcW w:w="1731" w:type="dxa"/>
            <w:noWrap/>
            <w:hideMark/>
          </w:tcPr>
          <w:p w14:paraId="7AB9B980" w14:textId="69A63536"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8.401</w:t>
            </w:r>
          </w:p>
        </w:tc>
        <w:tc>
          <w:tcPr>
            <w:tcW w:w="1530" w:type="dxa"/>
          </w:tcPr>
          <w:p w14:paraId="2C37DB59" w14:textId="77777777"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p>
        </w:tc>
      </w:tr>
      <w:tr w:rsidR="0012522D" w:rsidRPr="00646FE9" w14:paraId="45E45D48" w14:textId="77777777" w:rsidTr="00E1445F">
        <w:trPr>
          <w:cnfStyle w:val="000000100000" w:firstRow="0" w:lastRow="0" w:firstColumn="0" w:lastColumn="0" w:oddVBand="0" w:evenVBand="0" w:oddHBand="1" w:evenHBand="0" w:firstRowFirstColumn="0" w:firstRowLastColumn="0" w:lastRowFirstColumn="0" w:lastRowLastColumn="0"/>
          <w:trHeight w:val="300"/>
          <w:jc w:val="right"/>
        </w:trPr>
        <w:tc>
          <w:tcPr>
            <w:cnfStyle w:val="001000000000" w:firstRow="0" w:lastRow="0" w:firstColumn="1" w:lastColumn="0" w:oddVBand="0" w:evenVBand="0" w:oddHBand="0" w:evenHBand="0" w:firstRowFirstColumn="0" w:firstRowLastColumn="0" w:lastRowFirstColumn="0" w:lastRowLastColumn="0"/>
            <w:tcW w:w="1115" w:type="dxa"/>
            <w:noWrap/>
          </w:tcPr>
          <w:p w14:paraId="0915F873" w14:textId="173C13BE" w:rsidR="0012522D" w:rsidRPr="00646FE9" w:rsidRDefault="0012522D" w:rsidP="007301BF">
            <w:pPr>
              <w:spacing w:after="100" w:afterAutospacing="1"/>
              <w:jc w:val="center"/>
              <w:rPr>
                <w:b w:val="0"/>
                <w:color w:val="000000"/>
                <w:sz w:val="16"/>
                <w:szCs w:val="22"/>
              </w:rPr>
            </w:pPr>
            <w:r w:rsidRPr="00646FE9">
              <w:rPr>
                <w:b w:val="0"/>
                <w:color w:val="000000"/>
                <w:sz w:val="16"/>
                <w:szCs w:val="22"/>
              </w:rPr>
              <w:t>Subtotal 1</w:t>
            </w:r>
          </w:p>
        </w:tc>
        <w:tc>
          <w:tcPr>
            <w:tcW w:w="1857" w:type="dxa"/>
            <w:noWrap/>
          </w:tcPr>
          <w:p w14:paraId="2AE8FF3D" w14:textId="440AE9FD"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b/>
                <w:color w:val="000000"/>
                <w:sz w:val="16"/>
                <w:szCs w:val="22"/>
              </w:rPr>
            </w:pPr>
            <w:r w:rsidRPr="00646FE9">
              <w:rPr>
                <w:b/>
                <w:color w:val="000000"/>
                <w:sz w:val="16"/>
                <w:szCs w:val="22"/>
              </w:rPr>
              <w:t>$564.107</w:t>
            </w:r>
          </w:p>
        </w:tc>
        <w:tc>
          <w:tcPr>
            <w:tcW w:w="1559" w:type="dxa"/>
            <w:noWrap/>
          </w:tcPr>
          <w:p w14:paraId="4794881F" w14:textId="77777777"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b/>
                <w:color w:val="000000"/>
                <w:sz w:val="16"/>
                <w:szCs w:val="22"/>
              </w:rPr>
            </w:pPr>
          </w:p>
        </w:tc>
        <w:tc>
          <w:tcPr>
            <w:tcW w:w="1731" w:type="dxa"/>
            <w:noWrap/>
          </w:tcPr>
          <w:p w14:paraId="2836F99C" w14:textId="3A3B59FF"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b/>
                <w:color w:val="000000"/>
                <w:sz w:val="16"/>
                <w:szCs w:val="22"/>
              </w:rPr>
            </w:pPr>
            <w:r w:rsidRPr="00646FE9">
              <w:rPr>
                <w:b/>
                <w:color w:val="000000"/>
                <w:sz w:val="16"/>
                <w:szCs w:val="22"/>
              </w:rPr>
              <w:t>$119.334</w:t>
            </w:r>
          </w:p>
        </w:tc>
        <w:tc>
          <w:tcPr>
            <w:tcW w:w="1530" w:type="dxa"/>
          </w:tcPr>
          <w:p w14:paraId="6012A22C" w14:textId="77777777"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b/>
                <w:color w:val="000000"/>
                <w:sz w:val="16"/>
                <w:szCs w:val="22"/>
              </w:rPr>
            </w:pPr>
          </w:p>
        </w:tc>
      </w:tr>
      <w:tr w:rsidR="0012522D" w:rsidRPr="00646FE9" w14:paraId="559557CB" w14:textId="75E6AE4F" w:rsidTr="00E1445F">
        <w:trPr>
          <w:trHeight w:val="134"/>
          <w:jc w:val="right"/>
        </w:trPr>
        <w:tc>
          <w:tcPr>
            <w:cnfStyle w:val="001000000000" w:firstRow="0" w:lastRow="0" w:firstColumn="1" w:lastColumn="0" w:oddVBand="0" w:evenVBand="0" w:oddHBand="0" w:evenHBand="0" w:firstRowFirstColumn="0" w:firstRowLastColumn="0" w:lastRowFirstColumn="0" w:lastRowLastColumn="0"/>
            <w:tcW w:w="1115" w:type="dxa"/>
            <w:noWrap/>
            <w:hideMark/>
          </w:tcPr>
          <w:p w14:paraId="3E3EB4B0" w14:textId="77777777" w:rsidR="0012522D" w:rsidRPr="00646FE9" w:rsidRDefault="0012522D" w:rsidP="007301BF">
            <w:pPr>
              <w:spacing w:after="100" w:afterAutospacing="1"/>
              <w:jc w:val="center"/>
              <w:rPr>
                <w:color w:val="000000"/>
                <w:sz w:val="16"/>
                <w:szCs w:val="22"/>
              </w:rPr>
            </w:pPr>
            <w:r w:rsidRPr="00646FE9">
              <w:rPr>
                <w:color w:val="000000"/>
                <w:sz w:val="16"/>
                <w:szCs w:val="22"/>
              </w:rPr>
              <w:t>2018</w:t>
            </w:r>
          </w:p>
        </w:tc>
        <w:tc>
          <w:tcPr>
            <w:tcW w:w="1857" w:type="dxa"/>
            <w:noWrap/>
            <w:hideMark/>
          </w:tcPr>
          <w:p w14:paraId="06A69DB5" w14:textId="430C0E10"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57.394</w:t>
            </w:r>
          </w:p>
        </w:tc>
        <w:tc>
          <w:tcPr>
            <w:tcW w:w="1559" w:type="dxa"/>
            <w:noWrap/>
            <w:hideMark/>
          </w:tcPr>
          <w:p w14:paraId="3D54EF3B" w14:textId="77777777"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0,0350</w:t>
            </w:r>
          </w:p>
        </w:tc>
        <w:tc>
          <w:tcPr>
            <w:tcW w:w="1731" w:type="dxa"/>
            <w:noWrap/>
            <w:hideMark/>
          </w:tcPr>
          <w:p w14:paraId="7E6A7848" w14:textId="65314852"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8.442</w:t>
            </w:r>
          </w:p>
        </w:tc>
        <w:tc>
          <w:tcPr>
            <w:tcW w:w="1530" w:type="dxa"/>
          </w:tcPr>
          <w:p w14:paraId="2DBA09C2" w14:textId="77777777"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p>
        </w:tc>
      </w:tr>
      <w:tr w:rsidR="0012522D" w:rsidRPr="00646FE9" w14:paraId="177F1344" w14:textId="55151118" w:rsidTr="00E1445F">
        <w:trPr>
          <w:cnfStyle w:val="000000100000" w:firstRow="0" w:lastRow="0" w:firstColumn="0" w:lastColumn="0" w:oddVBand="0" w:evenVBand="0" w:oddHBand="1" w:evenHBand="0" w:firstRowFirstColumn="0" w:firstRowLastColumn="0" w:lastRowFirstColumn="0" w:lastRowLastColumn="0"/>
          <w:trHeight w:val="179"/>
          <w:jc w:val="right"/>
        </w:trPr>
        <w:tc>
          <w:tcPr>
            <w:cnfStyle w:val="001000000000" w:firstRow="0" w:lastRow="0" w:firstColumn="1" w:lastColumn="0" w:oddVBand="0" w:evenVBand="0" w:oddHBand="0" w:evenHBand="0" w:firstRowFirstColumn="0" w:firstRowLastColumn="0" w:lastRowFirstColumn="0" w:lastRowLastColumn="0"/>
            <w:tcW w:w="1115" w:type="dxa"/>
            <w:noWrap/>
            <w:hideMark/>
          </w:tcPr>
          <w:p w14:paraId="5D55E77A" w14:textId="77777777" w:rsidR="0012522D" w:rsidRPr="00646FE9" w:rsidRDefault="0012522D" w:rsidP="007301BF">
            <w:pPr>
              <w:spacing w:after="100" w:afterAutospacing="1"/>
              <w:jc w:val="center"/>
              <w:rPr>
                <w:color w:val="000000"/>
                <w:sz w:val="16"/>
                <w:szCs w:val="22"/>
              </w:rPr>
            </w:pPr>
            <w:r w:rsidRPr="00646FE9">
              <w:rPr>
                <w:color w:val="000000"/>
                <w:sz w:val="16"/>
                <w:szCs w:val="22"/>
              </w:rPr>
              <w:t>2019</w:t>
            </w:r>
          </w:p>
        </w:tc>
        <w:tc>
          <w:tcPr>
            <w:tcW w:w="1857" w:type="dxa"/>
            <w:noWrap/>
            <w:hideMark/>
          </w:tcPr>
          <w:p w14:paraId="439E2044" w14:textId="3F62EDDB"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59.690</w:t>
            </w:r>
          </w:p>
        </w:tc>
        <w:tc>
          <w:tcPr>
            <w:tcW w:w="1559" w:type="dxa"/>
            <w:noWrap/>
            <w:hideMark/>
          </w:tcPr>
          <w:p w14:paraId="135EA130" w14:textId="77777777"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0,0350</w:t>
            </w:r>
          </w:p>
        </w:tc>
        <w:tc>
          <w:tcPr>
            <w:tcW w:w="1731" w:type="dxa"/>
            <w:noWrap/>
            <w:hideMark/>
          </w:tcPr>
          <w:p w14:paraId="305A691C" w14:textId="0B978E84"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8.483</w:t>
            </w:r>
          </w:p>
        </w:tc>
        <w:tc>
          <w:tcPr>
            <w:tcW w:w="1530" w:type="dxa"/>
          </w:tcPr>
          <w:p w14:paraId="243DB9B6" w14:textId="77777777"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p>
        </w:tc>
      </w:tr>
      <w:tr w:rsidR="0012522D" w:rsidRPr="00646FE9" w14:paraId="32878D7E" w14:textId="6F0A357C" w:rsidTr="00E1445F">
        <w:trPr>
          <w:trHeight w:val="84"/>
          <w:jc w:val="right"/>
        </w:trPr>
        <w:tc>
          <w:tcPr>
            <w:cnfStyle w:val="001000000000" w:firstRow="0" w:lastRow="0" w:firstColumn="1" w:lastColumn="0" w:oddVBand="0" w:evenVBand="0" w:oddHBand="0" w:evenHBand="0" w:firstRowFirstColumn="0" w:firstRowLastColumn="0" w:lastRowFirstColumn="0" w:lastRowLastColumn="0"/>
            <w:tcW w:w="1115" w:type="dxa"/>
            <w:noWrap/>
            <w:hideMark/>
          </w:tcPr>
          <w:p w14:paraId="0112E51C" w14:textId="77777777" w:rsidR="0012522D" w:rsidRPr="00646FE9" w:rsidRDefault="0012522D" w:rsidP="007301BF">
            <w:pPr>
              <w:spacing w:after="100" w:afterAutospacing="1"/>
              <w:jc w:val="center"/>
              <w:rPr>
                <w:color w:val="000000"/>
                <w:sz w:val="16"/>
                <w:szCs w:val="22"/>
              </w:rPr>
            </w:pPr>
            <w:r w:rsidRPr="00646FE9">
              <w:rPr>
                <w:color w:val="000000"/>
                <w:sz w:val="16"/>
                <w:szCs w:val="22"/>
              </w:rPr>
              <w:t>2020</w:t>
            </w:r>
          </w:p>
        </w:tc>
        <w:tc>
          <w:tcPr>
            <w:tcW w:w="1857" w:type="dxa"/>
            <w:noWrap/>
            <w:hideMark/>
          </w:tcPr>
          <w:p w14:paraId="4CEC08A3" w14:textId="3AF4789F"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62.078</w:t>
            </w:r>
          </w:p>
        </w:tc>
        <w:tc>
          <w:tcPr>
            <w:tcW w:w="1559" w:type="dxa"/>
            <w:noWrap/>
            <w:hideMark/>
          </w:tcPr>
          <w:p w14:paraId="1E55951F" w14:textId="77777777"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0,0350</w:t>
            </w:r>
          </w:p>
        </w:tc>
        <w:tc>
          <w:tcPr>
            <w:tcW w:w="1731" w:type="dxa"/>
            <w:noWrap/>
            <w:hideMark/>
          </w:tcPr>
          <w:p w14:paraId="54469323" w14:textId="14129C3D"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8.524</w:t>
            </w:r>
          </w:p>
        </w:tc>
        <w:tc>
          <w:tcPr>
            <w:tcW w:w="1530" w:type="dxa"/>
          </w:tcPr>
          <w:p w14:paraId="75B2C2FD" w14:textId="77777777"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p>
        </w:tc>
      </w:tr>
      <w:tr w:rsidR="0012522D" w:rsidRPr="00646FE9" w14:paraId="0C8B79D8" w14:textId="65EF684E" w:rsidTr="00E1445F">
        <w:trPr>
          <w:cnfStyle w:val="000000100000" w:firstRow="0" w:lastRow="0" w:firstColumn="0" w:lastColumn="0" w:oddVBand="0" w:evenVBand="0" w:oddHBand="1" w:evenHBand="0" w:firstRowFirstColumn="0" w:firstRowLastColumn="0" w:lastRowFirstColumn="0" w:lastRowLastColumn="0"/>
          <w:trHeight w:val="129"/>
          <w:jc w:val="right"/>
        </w:trPr>
        <w:tc>
          <w:tcPr>
            <w:cnfStyle w:val="001000000000" w:firstRow="0" w:lastRow="0" w:firstColumn="1" w:lastColumn="0" w:oddVBand="0" w:evenVBand="0" w:oddHBand="0" w:evenHBand="0" w:firstRowFirstColumn="0" w:firstRowLastColumn="0" w:lastRowFirstColumn="0" w:lastRowLastColumn="0"/>
            <w:tcW w:w="1115" w:type="dxa"/>
            <w:noWrap/>
            <w:hideMark/>
          </w:tcPr>
          <w:p w14:paraId="154BE435" w14:textId="77777777" w:rsidR="0012522D" w:rsidRPr="00646FE9" w:rsidRDefault="0012522D" w:rsidP="007301BF">
            <w:pPr>
              <w:spacing w:after="100" w:afterAutospacing="1"/>
              <w:jc w:val="center"/>
              <w:rPr>
                <w:color w:val="000000"/>
                <w:sz w:val="16"/>
                <w:szCs w:val="22"/>
              </w:rPr>
            </w:pPr>
            <w:r w:rsidRPr="00646FE9">
              <w:rPr>
                <w:color w:val="000000"/>
                <w:sz w:val="16"/>
                <w:szCs w:val="22"/>
              </w:rPr>
              <w:t>2021</w:t>
            </w:r>
          </w:p>
        </w:tc>
        <w:tc>
          <w:tcPr>
            <w:tcW w:w="1857" w:type="dxa"/>
            <w:noWrap/>
            <w:hideMark/>
          </w:tcPr>
          <w:p w14:paraId="1B7E7908" w14:textId="13EC3435"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64.561</w:t>
            </w:r>
          </w:p>
        </w:tc>
        <w:tc>
          <w:tcPr>
            <w:tcW w:w="1559" w:type="dxa"/>
            <w:noWrap/>
            <w:hideMark/>
          </w:tcPr>
          <w:p w14:paraId="3EE20E43" w14:textId="77777777"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0,0350</w:t>
            </w:r>
          </w:p>
        </w:tc>
        <w:tc>
          <w:tcPr>
            <w:tcW w:w="1731" w:type="dxa"/>
            <w:noWrap/>
            <w:hideMark/>
          </w:tcPr>
          <w:p w14:paraId="0149F011" w14:textId="3C7CECB1"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8.565</w:t>
            </w:r>
          </w:p>
        </w:tc>
        <w:tc>
          <w:tcPr>
            <w:tcW w:w="1530" w:type="dxa"/>
          </w:tcPr>
          <w:p w14:paraId="2C81770B" w14:textId="77777777"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p>
        </w:tc>
      </w:tr>
      <w:tr w:rsidR="0012522D" w:rsidRPr="00646FE9" w14:paraId="6408FFCD" w14:textId="7DC09A63" w:rsidTr="00E1445F">
        <w:trPr>
          <w:trHeight w:val="176"/>
          <w:jc w:val="right"/>
        </w:trPr>
        <w:tc>
          <w:tcPr>
            <w:cnfStyle w:val="001000000000" w:firstRow="0" w:lastRow="0" w:firstColumn="1" w:lastColumn="0" w:oddVBand="0" w:evenVBand="0" w:oddHBand="0" w:evenHBand="0" w:firstRowFirstColumn="0" w:firstRowLastColumn="0" w:lastRowFirstColumn="0" w:lastRowLastColumn="0"/>
            <w:tcW w:w="1115" w:type="dxa"/>
            <w:noWrap/>
            <w:hideMark/>
          </w:tcPr>
          <w:p w14:paraId="5DCE19C0" w14:textId="77777777" w:rsidR="0012522D" w:rsidRPr="00646FE9" w:rsidRDefault="0012522D" w:rsidP="007301BF">
            <w:pPr>
              <w:spacing w:after="100" w:afterAutospacing="1"/>
              <w:jc w:val="center"/>
              <w:rPr>
                <w:color w:val="000000"/>
                <w:sz w:val="16"/>
                <w:szCs w:val="22"/>
              </w:rPr>
            </w:pPr>
            <w:r w:rsidRPr="00646FE9">
              <w:rPr>
                <w:color w:val="000000"/>
                <w:sz w:val="16"/>
                <w:szCs w:val="22"/>
              </w:rPr>
              <w:t>2022</w:t>
            </w:r>
          </w:p>
        </w:tc>
        <w:tc>
          <w:tcPr>
            <w:tcW w:w="1857" w:type="dxa"/>
            <w:noWrap/>
            <w:hideMark/>
          </w:tcPr>
          <w:p w14:paraId="46BECEA0" w14:textId="1BE60EC8"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67.143</w:t>
            </w:r>
          </w:p>
        </w:tc>
        <w:tc>
          <w:tcPr>
            <w:tcW w:w="1559" w:type="dxa"/>
            <w:noWrap/>
            <w:hideMark/>
          </w:tcPr>
          <w:p w14:paraId="0D22FF60" w14:textId="77777777"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0,0350</w:t>
            </w:r>
          </w:p>
        </w:tc>
        <w:tc>
          <w:tcPr>
            <w:tcW w:w="1731" w:type="dxa"/>
            <w:noWrap/>
            <w:hideMark/>
          </w:tcPr>
          <w:p w14:paraId="12ABCDF6" w14:textId="1EAF240A"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8.606</w:t>
            </w:r>
          </w:p>
        </w:tc>
        <w:tc>
          <w:tcPr>
            <w:tcW w:w="1530" w:type="dxa"/>
          </w:tcPr>
          <w:p w14:paraId="60EFCD69" w14:textId="77777777"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p>
        </w:tc>
      </w:tr>
      <w:tr w:rsidR="0012522D" w:rsidRPr="00646FE9" w14:paraId="190FE9A5" w14:textId="6AA82250" w:rsidTr="00E1445F">
        <w:trPr>
          <w:cnfStyle w:val="000000100000" w:firstRow="0" w:lastRow="0" w:firstColumn="0" w:lastColumn="0" w:oddVBand="0" w:evenVBand="0" w:oddHBand="1" w:evenHBand="0" w:firstRowFirstColumn="0" w:firstRowLastColumn="0" w:lastRowFirstColumn="0" w:lastRowLastColumn="0"/>
          <w:trHeight w:val="94"/>
          <w:jc w:val="right"/>
        </w:trPr>
        <w:tc>
          <w:tcPr>
            <w:cnfStyle w:val="001000000000" w:firstRow="0" w:lastRow="0" w:firstColumn="1" w:lastColumn="0" w:oddVBand="0" w:evenVBand="0" w:oddHBand="0" w:evenHBand="0" w:firstRowFirstColumn="0" w:firstRowLastColumn="0" w:lastRowFirstColumn="0" w:lastRowLastColumn="0"/>
            <w:tcW w:w="1115" w:type="dxa"/>
            <w:noWrap/>
            <w:hideMark/>
          </w:tcPr>
          <w:p w14:paraId="484A4678" w14:textId="77777777" w:rsidR="0012522D" w:rsidRPr="00646FE9" w:rsidRDefault="0012522D" w:rsidP="007301BF">
            <w:pPr>
              <w:spacing w:after="100" w:afterAutospacing="1"/>
              <w:jc w:val="center"/>
              <w:rPr>
                <w:color w:val="000000"/>
                <w:sz w:val="16"/>
                <w:szCs w:val="22"/>
              </w:rPr>
            </w:pPr>
            <w:r w:rsidRPr="00646FE9">
              <w:rPr>
                <w:color w:val="000000"/>
                <w:sz w:val="16"/>
                <w:szCs w:val="22"/>
              </w:rPr>
              <w:t>2023</w:t>
            </w:r>
          </w:p>
        </w:tc>
        <w:tc>
          <w:tcPr>
            <w:tcW w:w="1857" w:type="dxa"/>
            <w:noWrap/>
            <w:hideMark/>
          </w:tcPr>
          <w:p w14:paraId="647E521E" w14:textId="4B8C92B9"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69.829</w:t>
            </w:r>
          </w:p>
        </w:tc>
        <w:tc>
          <w:tcPr>
            <w:tcW w:w="1559" w:type="dxa"/>
            <w:noWrap/>
            <w:hideMark/>
          </w:tcPr>
          <w:p w14:paraId="5D7A8498" w14:textId="77777777"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0,0350</w:t>
            </w:r>
          </w:p>
        </w:tc>
        <w:tc>
          <w:tcPr>
            <w:tcW w:w="1731" w:type="dxa"/>
            <w:noWrap/>
            <w:hideMark/>
          </w:tcPr>
          <w:p w14:paraId="403DAC83" w14:textId="3476427A"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8.648</w:t>
            </w:r>
          </w:p>
        </w:tc>
        <w:tc>
          <w:tcPr>
            <w:tcW w:w="1530" w:type="dxa"/>
          </w:tcPr>
          <w:p w14:paraId="4F3949DA" w14:textId="77777777"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p>
        </w:tc>
      </w:tr>
      <w:tr w:rsidR="0012522D" w:rsidRPr="00646FE9" w14:paraId="54A77591" w14:textId="63D31486" w:rsidTr="00E1445F">
        <w:trPr>
          <w:trHeight w:val="68"/>
          <w:jc w:val="right"/>
        </w:trPr>
        <w:tc>
          <w:tcPr>
            <w:cnfStyle w:val="001000000000" w:firstRow="0" w:lastRow="0" w:firstColumn="1" w:lastColumn="0" w:oddVBand="0" w:evenVBand="0" w:oddHBand="0" w:evenHBand="0" w:firstRowFirstColumn="0" w:firstRowLastColumn="0" w:lastRowFirstColumn="0" w:lastRowLastColumn="0"/>
            <w:tcW w:w="1115" w:type="dxa"/>
            <w:noWrap/>
            <w:hideMark/>
          </w:tcPr>
          <w:p w14:paraId="1283206F" w14:textId="77777777" w:rsidR="0012522D" w:rsidRPr="00646FE9" w:rsidRDefault="0012522D" w:rsidP="007301BF">
            <w:pPr>
              <w:spacing w:after="100" w:afterAutospacing="1"/>
              <w:jc w:val="center"/>
              <w:rPr>
                <w:color w:val="000000"/>
                <w:sz w:val="16"/>
                <w:szCs w:val="22"/>
              </w:rPr>
            </w:pPr>
            <w:r w:rsidRPr="00646FE9">
              <w:rPr>
                <w:color w:val="000000"/>
                <w:sz w:val="16"/>
                <w:szCs w:val="22"/>
              </w:rPr>
              <w:t>2024</w:t>
            </w:r>
          </w:p>
        </w:tc>
        <w:tc>
          <w:tcPr>
            <w:tcW w:w="1857" w:type="dxa"/>
            <w:noWrap/>
            <w:hideMark/>
          </w:tcPr>
          <w:p w14:paraId="4B7FEC5C" w14:textId="4F28036A"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72.622</w:t>
            </w:r>
          </w:p>
        </w:tc>
        <w:tc>
          <w:tcPr>
            <w:tcW w:w="1559" w:type="dxa"/>
            <w:noWrap/>
            <w:hideMark/>
          </w:tcPr>
          <w:p w14:paraId="340FC59C" w14:textId="77777777"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0,0350</w:t>
            </w:r>
          </w:p>
        </w:tc>
        <w:tc>
          <w:tcPr>
            <w:tcW w:w="1731" w:type="dxa"/>
            <w:noWrap/>
            <w:hideMark/>
          </w:tcPr>
          <w:p w14:paraId="5C1CB70E" w14:textId="20D8C0BA"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8.690</w:t>
            </w:r>
          </w:p>
        </w:tc>
        <w:tc>
          <w:tcPr>
            <w:tcW w:w="1530" w:type="dxa"/>
          </w:tcPr>
          <w:p w14:paraId="33C73AD6" w14:textId="77777777"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p>
        </w:tc>
      </w:tr>
      <w:tr w:rsidR="0012522D" w:rsidRPr="00646FE9" w14:paraId="586FB7ED" w14:textId="7D28FBA1" w:rsidTr="00E1445F">
        <w:trPr>
          <w:cnfStyle w:val="000000100000" w:firstRow="0" w:lastRow="0" w:firstColumn="0" w:lastColumn="0" w:oddVBand="0" w:evenVBand="0" w:oddHBand="1" w:evenHBand="0" w:firstRowFirstColumn="0" w:firstRowLastColumn="0" w:lastRowFirstColumn="0" w:lastRowLastColumn="0"/>
          <w:trHeight w:val="68"/>
          <w:jc w:val="right"/>
        </w:trPr>
        <w:tc>
          <w:tcPr>
            <w:cnfStyle w:val="001000000000" w:firstRow="0" w:lastRow="0" w:firstColumn="1" w:lastColumn="0" w:oddVBand="0" w:evenVBand="0" w:oddHBand="0" w:evenHBand="0" w:firstRowFirstColumn="0" w:firstRowLastColumn="0" w:lastRowFirstColumn="0" w:lastRowLastColumn="0"/>
            <w:tcW w:w="1115" w:type="dxa"/>
            <w:noWrap/>
            <w:hideMark/>
          </w:tcPr>
          <w:p w14:paraId="37562194" w14:textId="77777777" w:rsidR="0012522D" w:rsidRPr="00646FE9" w:rsidRDefault="0012522D" w:rsidP="007301BF">
            <w:pPr>
              <w:spacing w:after="100" w:afterAutospacing="1"/>
              <w:jc w:val="center"/>
              <w:rPr>
                <w:color w:val="000000"/>
                <w:sz w:val="16"/>
                <w:szCs w:val="22"/>
              </w:rPr>
            </w:pPr>
            <w:r w:rsidRPr="00646FE9">
              <w:rPr>
                <w:color w:val="000000"/>
                <w:sz w:val="16"/>
                <w:szCs w:val="22"/>
              </w:rPr>
              <w:t>2025</w:t>
            </w:r>
          </w:p>
        </w:tc>
        <w:tc>
          <w:tcPr>
            <w:tcW w:w="1857" w:type="dxa"/>
            <w:noWrap/>
            <w:hideMark/>
          </w:tcPr>
          <w:p w14:paraId="7E5305CD" w14:textId="130A914E"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75.527</w:t>
            </w:r>
          </w:p>
        </w:tc>
        <w:tc>
          <w:tcPr>
            <w:tcW w:w="1559" w:type="dxa"/>
            <w:noWrap/>
            <w:hideMark/>
          </w:tcPr>
          <w:p w14:paraId="2A7537FA" w14:textId="77777777"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0,0350</w:t>
            </w:r>
          </w:p>
        </w:tc>
        <w:tc>
          <w:tcPr>
            <w:tcW w:w="1731" w:type="dxa"/>
            <w:noWrap/>
            <w:hideMark/>
          </w:tcPr>
          <w:p w14:paraId="6DF12D9C" w14:textId="7D0431B0"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8.732</w:t>
            </w:r>
          </w:p>
        </w:tc>
        <w:tc>
          <w:tcPr>
            <w:tcW w:w="1530" w:type="dxa"/>
          </w:tcPr>
          <w:p w14:paraId="284A522A" w14:textId="77777777"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p>
        </w:tc>
      </w:tr>
      <w:tr w:rsidR="0012522D" w:rsidRPr="00646FE9" w14:paraId="6F6CEE02" w14:textId="463EE6B4" w:rsidTr="00E1445F">
        <w:trPr>
          <w:trHeight w:val="90"/>
          <w:jc w:val="right"/>
        </w:trPr>
        <w:tc>
          <w:tcPr>
            <w:cnfStyle w:val="001000000000" w:firstRow="0" w:lastRow="0" w:firstColumn="1" w:lastColumn="0" w:oddVBand="0" w:evenVBand="0" w:oddHBand="0" w:evenHBand="0" w:firstRowFirstColumn="0" w:firstRowLastColumn="0" w:lastRowFirstColumn="0" w:lastRowLastColumn="0"/>
            <w:tcW w:w="1115" w:type="dxa"/>
            <w:noWrap/>
            <w:hideMark/>
          </w:tcPr>
          <w:p w14:paraId="50EFDB7C" w14:textId="77777777" w:rsidR="0012522D" w:rsidRPr="00646FE9" w:rsidRDefault="0012522D" w:rsidP="007301BF">
            <w:pPr>
              <w:spacing w:after="100" w:afterAutospacing="1"/>
              <w:jc w:val="center"/>
              <w:rPr>
                <w:color w:val="000000"/>
                <w:sz w:val="16"/>
                <w:szCs w:val="22"/>
              </w:rPr>
            </w:pPr>
            <w:r w:rsidRPr="00646FE9">
              <w:rPr>
                <w:color w:val="000000"/>
                <w:sz w:val="16"/>
                <w:szCs w:val="22"/>
              </w:rPr>
              <w:t>2026</w:t>
            </w:r>
          </w:p>
        </w:tc>
        <w:tc>
          <w:tcPr>
            <w:tcW w:w="1857" w:type="dxa"/>
            <w:noWrap/>
            <w:hideMark/>
          </w:tcPr>
          <w:p w14:paraId="1CC3FC77" w14:textId="202D1EE5"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78.548</w:t>
            </w:r>
          </w:p>
        </w:tc>
        <w:tc>
          <w:tcPr>
            <w:tcW w:w="1559" w:type="dxa"/>
            <w:noWrap/>
            <w:hideMark/>
          </w:tcPr>
          <w:p w14:paraId="4A4A9F2E" w14:textId="77777777"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0,0350</w:t>
            </w:r>
          </w:p>
        </w:tc>
        <w:tc>
          <w:tcPr>
            <w:tcW w:w="1731" w:type="dxa"/>
            <w:noWrap/>
            <w:hideMark/>
          </w:tcPr>
          <w:p w14:paraId="2BC9952F" w14:textId="230E4822"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8.774</w:t>
            </w:r>
          </w:p>
        </w:tc>
        <w:tc>
          <w:tcPr>
            <w:tcW w:w="1530" w:type="dxa"/>
          </w:tcPr>
          <w:p w14:paraId="7625723C" w14:textId="264996F7"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b/>
                <w:bCs/>
                <w:sz w:val="16"/>
                <w:szCs w:val="20"/>
              </w:rPr>
            </w:pPr>
            <w:r w:rsidRPr="00646FE9">
              <w:rPr>
                <w:b/>
                <w:bCs/>
                <w:sz w:val="16"/>
                <w:szCs w:val="20"/>
              </w:rPr>
              <w:t>$196.797</w:t>
            </w:r>
          </w:p>
        </w:tc>
      </w:tr>
      <w:tr w:rsidR="0012522D" w:rsidRPr="00646FE9" w14:paraId="54A10210" w14:textId="159C68C0" w:rsidTr="00E1445F">
        <w:trPr>
          <w:cnfStyle w:val="000000100000" w:firstRow="0" w:lastRow="0" w:firstColumn="0" w:lastColumn="0" w:oddVBand="0" w:evenVBand="0" w:oddHBand="1" w:evenHBand="0" w:firstRowFirstColumn="0" w:firstRowLastColumn="0" w:lastRowFirstColumn="0" w:lastRowLastColumn="0"/>
          <w:trHeight w:val="136"/>
          <w:jc w:val="right"/>
        </w:trPr>
        <w:tc>
          <w:tcPr>
            <w:cnfStyle w:val="001000000000" w:firstRow="0" w:lastRow="0" w:firstColumn="1" w:lastColumn="0" w:oddVBand="0" w:evenVBand="0" w:oddHBand="0" w:evenHBand="0" w:firstRowFirstColumn="0" w:firstRowLastColumn="0" w:lastRowFirstColumn="0" w:lastRowLastColumn="0"/>
            <w:tcW w:w="1115" w:type="dxa"/>
            <w:noWrap/>
            <w:hideMark/>
          </w:tcPr>
          <w:p w14:paraId="40F3BCEF" w14:textId="77777777" w:rsidR="0012522D" w:rsidRPr="00646FE9" w:rsidRDefault="0012522D" w:rsidP="007301BF">
            <w:pPr>
              <w:spacing w:after="100" w:afterAutospacing="1"/>
              <w:jc w:val="center"/>
              <w:rPr>
                <w:color w:val="000000"/>
                <w:sz w:val="16"/>
                <w:szCs w:val="22"/>
              </w:rPr>
            </w:pPr>
            <w:r w:rsidRPr="00646FE9">
              <w:rPr>
                <w:color w:val="000000"/>
                <w:sz w:val="16"/>
                <w:szCs w:val="22"/>
              </w:rPr>
              <w:t>2027</w:t>
            </w:r>
          </w:p>
        </w:tc>
        <w:tc>
          <w:tcPr>
            <w:tcW w:w="1857" w:type="dxa"/>
            <w:noWrap/>
            <w:hideMark/>
          </w:tcPr>
          <w:p w14:paraId="61A4008D" w14:textId="5FF8689B"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81.690</w:t>
            </w:r>
          </w:p>
        </w:tc>
        <w:tc>
          <w:tcPr>
            <w:tcW w:w="1559" w:type="dxa"/>
            <w:noWrap/>
            <w:hideMark/>
          </w:tcPr>
          <w:p w14:paraId="43D153EB" w14:textId="77777777"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0,0350</w:t>
            </w:r>
          </w:p>
        </w:tc>
        <w:tc>
          <w:tcPr>
            <w:tcW w:w="1731" w:type="dxa"/>
            <w:noWrap/>
            <w:hideMark/>
          </w:tcPr>
          <w:p w14:paraId="508D37C3" w14:textId="12110DC4"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8.816</w:t>
            </w:r>
          </w:p>
        </w:tc>
        <w:tc>
          <w:tcPr>
            <w:tcW w:w="1530" w:type="dxa"/>
          </w:tcPr>
          <w:p w14:paraId="2C6B5874" w14:textId="77777777"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p>
        </w:tc>
      </w:tr>
      <w:tr w:rsidR="0012522D" w:rsidRPr="00646FE9" w14:paraId="0880664D" w14:textId="2D2D37A7" w:rsidTr="00E1445F">
        <w:trPr>
          <w:trHeight w:val="182"/>
          <w:jc w:val="right"/>
        </w:trPr>
        <w:tc>
          <w:tcPr>
            <w:cnfStyle w:val="001000000000" w:firstRow="0" w:lastRow="0" w:firstColumn="1" w:lastColumn="0" w:oddVBand="0" w:evenVBand="0" w:oddHBand="0" w:evenHBand="0" w:firstRowFirstColumn="0" w:firstRowLastColumn="0" w:lastRowFirstColumn="0" w:lastRowLastColumn="0"/>
            <w:tcW w:w="1115" w:type="dxa"/>
            <w:noWrap/>
            <w:hideMark/>
          </w:tcPr>
          <w:p w14:paraId="3FD911EE" w14:textId="77777777" w:rsidR="0012522D" w:rsidRPr="00646FE9" w:rsidRDefault="0012522D" w:rsidP="007301BF">
            <w:pPr>
              <w:spacing w:after="100" w:afterAutospacing="1"/>
              <w:jc w:val="center"/>
              <w:rPr>
                <w:color w:val="000000"/>
                <w:sz w:val="16"/>
                <w:szCs w:val="22"/>
              </w:rPr>
            </w:pPr>
            <w:r w:rsidRPr="00646FE9">
              <w:rPr>
                <w:color w:val="000000"/>
                <w:sz w:val="16"/>
                <w:szCs w:val="22"/>
              </w:rPr>
              <w:t>2028</w:t>
            </w:r>
          </w:p>
        </w:tc>
        <w:tc>
          <w:tcPr>
            <w:tcW w:w="1857" w:type="dxa"/>
            <w:noWrap/>
            <w:hideMark/>
          </w:tcPr>
          <w:p w14:paraId="0591A371" w14:textId="488B487E"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84.958</w:t>
            </w:r>
          </w:p>
        </w:tc>
        <w:tc>
          <w:tcPr>
            <w:tcW w:w="1559" w:type="dxa"/>
            <w:noWrap/>
            <w:hideMark/>
          </w:tcPr>
          <w:p w14:paraId="5DAF158F" w14:textId="77777777"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0,0350</w:t>
            </w:r>
          </w:p>
        </w:tc>
        <w:tc>
          <w:tcPr>
            <w:tcW w:w="1731" w:type="dxa"/>
            <w:noWrap/>
            <w:hideMark/>
          </w:tcPr>
          <w:p w14:paraId="20DAE498" w14:textId="1E563635"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8.859</w:t>
            </w:r>
          </w:p>
        </w:tc>
        <w:tc>
          <w:tcPr>
            <w:tcW w:w="1530" w:type="dxa"/>
          </w:tcPr>
          <w:p w14:paraId="3ABCCF85" w14:textId="77777777"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p>
        </w:tc>
      </w:tr>
      <w:tr w:rsidR="0012522D" w:rsidRPr="00646FE9" w14:paraId="6D4DDF48" w14:textId="7871F096" w:rsidTr="00E1445F">
        <w:trPr>
          <w:cnfStyle w:val="000000100000" w:firstRow="0" w:lastRow="0" w:firstColumn="0" w:lastColumn="0" w:oddVBand="0" w:evenVBand="0" w:oddHBand="1" w:evenHBand="0" w:firstRowFirstColumn="0" w:firstRowLastColumn="0" w:lastRowFirstColumn="0" w:lastRowLastColumn="0"/>
          <w:trHeight w:val="100"/>
          <w:jc w:val="right"/>
        </w:trPr>
        <w:tc>
          <w:tcPr>
            <w:cnfStyle w:val="001000000000" w:firstRow="0" w:lastRow="0" w:firstColumn="1" w:lastColumn="0" w:oddVBand="0" w:evenVBand="0" w:oddHBand="0" w:evenHBand="0" w:firstRowFirstColumn="0" w:firstRowLastColumn="0" w:lastRowFirstColumn="0" w:lastRowLastColumn="0"/>
            <w:tcW w:w="1115" w:type="dxa"/>
            <w:noWrap/>
            <w:hideMark/>
          </w:tcPr>
          <w:p w14:paraId="40E14B99" w14:textId="77777777" w:rsidR="0012522D" w:rsidRPr="00646FE9" w:rsidRDefault="0012522D" w:rsidP="007301BF">
            <w:pPr>
              <w:spacing w:after="100" w:afterAutospacing="1"/>
              <w:jc w:val="center"/>
              <w:rPr>
                <w:color w:val="000000"/>
                <w:sz w:val="16"/>
                <w:szCs w:val="22"/>
              </w:rPr>
            </w:pPr>
            <w:r w:rsidRPr="00646FE9">
              <w:rPr>
                <w:color w:val="000000"/>
                <w:sz w:val="16"/>
                <w:szCs w:val="22"/>
              </w:rPr>
              <w:t>2029</w:t>
            </w:r>
          </w:p>
        </w:tc>
        <w:tc>
          <w:tcPr>
            <w:tcW w:w="1857" w:type="dxa"/>
            <w:noWrap/>
            <w:hideMark/>
          </w:tcPr>
          <w:p w14:paraId="1E1E0C31" w14:textId="27A5E02F"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88.356</w:t>
            </w:r>
          </w:p>
        </w:tc>
        <w:tc>
          <w:tcPr>
            <w:tcW w:w="1559" w:type="dxa"/>
            <w:noWrap/>
            <w:hideMark/>
          </w:tcPr>
          <w:p w14:paraId="37E72D41" w14:textId="77777777"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0,0350</w:t>
            </w:r>
          </w:p>
        </w:tc>
        <w:tc>
          <w:tcPr>
            <w:tcW w:w="1731" w:type="dxa"/>
            <w:noWrap/>
            <w:hideMark/>
          </w:tcPr>
          <w:p w14:paraId="3ABFDB53" w14:textId="634D8299"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8.902</w:t>
            </w:r>
          </w:p>
        </w:tc>
        <w:tc>
          <w:tcPr>
            <w:tcW w:w="1530" w:type="dxa"/>
          </w:tcPr>
          <w:p w14:paraId="4627B170" w14:textId="77777777"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p>
        </w:tc>
      </w:tr>
      <w:tr w:rsidR="0012522D" w:rsidRPr="00646FE9" w14:paraId="2CC254C4" w14:textId="7BCEF4C5" w:rsidTr="00E1445F">
        <w:trPr>
          <w:trHeight w:val="146"/>
          <w:jc w:val="right"/>
        </w:trPr>
        <w:tc>
          <w:tcPr>
            <w:cnfStyle w:val="001000000000" w:firstRow="0" w:lastRow="0" w:firstColumn="1" w:lastColumn="0" w:oddVBand="0" w:evenVBand="0" w:oddHBand="0" w:evenHBand="0" w:firstRowFirstColumn="0" w:firstRowLastColumn="0" w:lastRowFirstColumn="0" w:lastRowLastColumn="0"/>
            <w:tcW w:w="1115" w:type="dxa"/>
            <w:noWrap/>
            <w:hideMark/>
          </w:tcPr>
          <w:p w14:paraId="5F7BCF15" w14:textId="77777777" w:rsidR="0012522D" w:rsidRPr="00646FE9" w:rsidRDefault="0012522D" w:rsidP="007301BF">
            <w:pPr>
              <w:spacing w:after="100" w:afterAutospacing="1"/>
              <w:jc w:val="center"/>
              <w:rPr>
                <w:color w:val="000000"/>
                <w:sz w:val="16"/>
                <w:szCs w:val="22"/>
              </w:rPr>
            </w:pPr>
            <w:r w:rsidRPr="00646FE9">
              <w:rPr>
                <w:color w:val="000000"/>
                <w:sz w:val="16"/>
                <w:szCs w:val="22"/>
              </w:rPr>
              <w:t>2030</w:t>
            </w:r>
          </w:p>
        </w:tc>
        <w:tc>
          <w:tcPr>
            <w:tcW w:w="1857" w:type="dxa"/>
            <w:noWrap/>
            <w:hideMark/>
          </w:tcPr>
          <w:p w14:paraId="2BC43145" w14:textId="4411286B"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91.890</w:t>
            </w:r>
          </w:p>
        </w:tc>
        <w:tc>
          <w:tcPr>
            <w:tcW w:w="1559" w:type="dxa"/>
            <w:noWrap/>
            <w:hideMark/>
          </w:tcPr>
          <w:p w14:paraId="274426D8" w14:textId="77777777"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0,0350</w:t>
            </w:r>
          </w:p>
        </w:tc>
        <w:tc>
          <w:tcPr>
            <w:tcW w:w="1731" w:type="dxa"/>
            <w:noWrap/>
            <w:hideMark/>
          </w:tcPr>
          <w:p w14:paraId="7C92F4B2" w14:textId="55CBBB8E"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8.945</w:t>
            </w:r>
          </w:p>
        </w:tc>
        <w:tc>
          <w:tcPr>
            <w:tcW w:w="1530" w:type="dxa"/>
          </w:tcPr>
          <w:p w14:paraId="4D9116A9" w14:textId="77777777"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p>
        </w:tc>
      </w:tr>
      <w:tr w:rsidR="0012522D" w:rsidRPr="00646FE9" w14:paraId="23E7112A" w14:textId="521F3D37" w:rsidTr="00E1445F">
        <w:trPr>
          <w:cnfStyle w:val="000000100000" w:firstRow="0" w:lastRow="0" w:firstColumn="0" w:lastColumn="0" w:oddVBand="0" w:evenVBand="0" w:oddHBand="1" w:evenHBand="0" w:firstRowFirstColumn="0" w:firstRowLastColumn="0" w:lastRowFirstColumn="0" w:lastRowLastColumn="0"/>
          <w:trHeight w:val="68"/>
          <w:jc w:val="right"/>
        </w:trPr>
        <w:tc>
          <w:tcPr>
            <w:cnfStyle w:val="001000000000" w:firstRow="0" w:lastRow="0" w:firstColumn="1" w:lastColumn="0" w:oddVBand="0" w:evenVBand="0" w:oddHBand="0" w:evenHBand="0" w:firstRowFirstColumn="0" w:firstRowLastColumn="0" w:lastRowFirstColumn="0" w:lastRowLastColumn="0"/>
            <w:tcW w:w="1115" w:type="dxa"/>
            <w:noWrap/>
            <w:hideMark/>
          </w:tcPr>
          <w:p w14:paraId="363A9FAC" w14:textId="77777777" w:rsidR="0012522D" w:rsidRPr="00646FE9" w:rsidRDefault="0012522D" w:rsidP="007301BF">
            <w:pPr>
              <w:spacing w:after="100" w:afterAutospacing="1"/>
              <w:jc w:val="center"/>
              <w:rPr>
                <w:color w:val="000000"/>
                <w:sz w:val="16"/>
                <w:szCs w:val="22"/>
              </w:rPr>
            </w:pPr>
            <w:r w:rsidRPr="00646FE9">
              <w:rPr>
                <w:color w:val="000000"/>
                <w:sz w:val="16"/>
                <w:szCs w:val="22"/>
              </w:rPr>
              <w:t>2031</w:t>
            </w:r>
          </w:p>
        </w:tc>
        <w:tc>
          <w:tcPr>
            <w:tcW w:w="1857" w:type="dxa"/>
            <w:noWrap/>
            <w:hideMark/>
          </w:tcPr>
          <w:p w14:paraId="020C535E" w14:textId="548F45D1"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95.566</w:t>
            </w:r>
          </w:p>
        </w:tc>
        <w:tc>
          <w:tcPr>
            <w:tcW w:w="1559" w:type="dxa"/>
            <w:noWrap/>
            <w:hideMark/>
          </w:tcPr>
          <w:p w14:paraId="1039B556" w14:textId="77777777"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0,0350</w:t>
            </w:r>
          </w:p>
        </w:tc>
        <w:tc>
          <w:tcPr>
            <w:tcW w:w="1731" w:type="dxa"/>
            <w:noWrap/>
            <w:hideMark/>
          </w:tcPr>
          <w:p w14:paraId="10EE600A" w14:textId="55CF1408"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r w:rsidRPr="00646FE9">
              <w:rPr>
                <w:color w:val="000000"/>
                <w:sz w:val="16"/>
                <w:szCs w:val="22"/>
              </w:rPr>
              <w:t>8.988</w:t>
            </w:r>
          </w:p>
        </w:tc>
        <w:tc>
          <w:tcPr>
            <w:tcW w:w="1530" w:type="dxa"/>
          </w:tcPr>
          <w:p w14:paraId="137C4F6F" w14:textId="77777777"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p>
        </w:tc>
      </w:tr>
      <w:tr w:rsidR="0012522D" w:rsidRPr="00646FE9" w14:paraId="2DA7722B" w14:textId="230010BF" w:rsidTr="00E1445F">
        <w:trPr>
          <w:trHeight w:val="96"/>
          <w:jc w:val="right"/>
        </w:trPr>
        <w:tc>
          <w:tcPr>
            <w:cnfStyle w:val="001000000000" w:firstRow="0" w:lastRow="0" w:firstColumn="1" w:lastColumn="0" w:oddVBand="0" w:evenVBand="0" w:oddHBand="0" w:evenHBand="0" w:firstRowFirstColumn="0" w:firstRowLastColumn="0" w:lastRowFirstColumn="0" w:lastRowLastColumn="0"/>
            <w:tcW w:w="1115" w:type="dxa"/>
            <w:noWrap/>
            <w:hideMark/>
          </w:tcPr>
          <w:p w14:paraId="728A2E34" w14:textId="77777777" w:rsidR="0012522D" w:rsidRPr="00646FE9" w:rsidRDefault="0012522D" w:rsidP="007301BF">
            <w:pPr>
              <w:spacing w:after="100" w:afterAutospacing="1"/>
              <w:jc w:val="center"/>
              <w:rPr>
                <w:color w:val="000000"/>
                <w:sz w:val="16"/>
                <w:szCs w:val="22"/>
              </w:rPr>
            </w:pPr>
            <w:r w:rsidRPr="00646FE9">
              <w:rPr>
                <w:color w:val="000000"/>
                <w:sz w:val="16"/>
                <w:szCs w:val="22"/>
              </w:rPr>
              <w:t>2032</w:t>
            </w:r>
          </w:p>
        </w:tc>
        <w:tc>
          <w:tcPr>
            <w:tcW w:w="1857" w:type="dxa"/>
            <w:noWrap/>
            <w:hideMark/>
          </w:tcPr>
          <w:p w14:paraId="3A1B78B4" w14:textId="794B2969"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99.389</w:t>
            </w:r>
          </w:p>
        </w:tc>
        <w:tc>
          <w:tcPr>
            <w:tcW w:w="1559" w:type="dxa"/>
            <w:noWrap/>
            <w:hideMark/>
          </w:tcPr>
          <w:p w14:paraId="4DD82CD5" w14:textId="77777777"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0,0350</w:t>
            </w:r>
          </w:p>
        </w:tc>
        <w:tc>
          <w:tcPr>
            <w:tcW w:w="1731" w:type="dxa"/>
            <w:noWrap/>
            <w:hideMark/>
          </w:tcPr>
          <w:p w14:paraId="793CD43F" w14:textId="004058C9"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r w:rsidRPr="00646FE9">
              <w:rPr>
                <w:color w:val="000000"/>
                <w:sz w:val="16"/>
                <w:szCs w:val="22"/>
              </w:rPr>
              <w:t>9.031</w:t>
            </w:r>
          </w:p>
        </w:tc>
        <w:tc>
          <w:tcPr>
            <w:tcW w:w="1530" w:type="dxa"/>
          </w:tcPr>
          <w:p w14:paraId="548F246F" w14:textId="77777777"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p>
        </w:tc>
      </w:tr>
      <w:tr w:rsidR="0012522D" w:rsidRPr="00646FE9" w14:paraId="68B5C318" w14:textId="77777777" w:rsidTr="00E1445F">
        <w:trPr>
          <w:cnfStyle w:val="000000100000" w:firstRow="0" w:lastRow="0" w:firstColumn="0" w:lastColumn="0" w:oddVBand="0" w:evenVBand="0" w:oddHBand="1" w:evenHBand="0" w:firstRowFirstColumn="0" w:firstRowLastColumn="0" w:lastRowFirstColumn="0" w:lastRowLastColumn="0"/>
          <w:trHeight w:val="68"/>
          <w:jc w:val="right"/>
        </w:trPr>
        <w:tc>
          <w:tcPr>
            <w:cnfStyle w:val="001000000000" w:firstRow="0" w:lastRow="0" w:firstColumn="1" w:lastColumn="0" w:oddVBand="0" w:evenVBand="0" w:oddHBand="0" w:evenHBand="0" w:firstRowFirstColumn="0" w:firstRowLastColumn="0" w:lastRowFirstColumn="0" w:lastRowLastColumn="0"/>
            <w:tcW w:w="1115" w:type="dxa"/>
            <w:noWrap/>
          </w:tcPr>
          <w:p w14:paraId="1FFC8319" w14:textId="58B05A52" w:rsidR="0012522D" w:rsidRPr="00646FE9" w:rsidRDefault="0012522D" w:rsidP="007301BF">
            <w:pPr>
              <w:spacing w:after="100" w:afterAutospacing="1"/>
              <w:jc w:val="center"/>
              <w:rPr>
                <w:color w:val="000000"/>
                <w:sz w:val="16"/>
                <w:szCs w:val="22"/>
              </w:rPr>
            </w:pPr>
            <w:r w:rsidRPr="00646FE9">
              <w:rPr>
                <w:b w:val="0"/>
                <w:color w:val="000000"/>
                <w:sz w:val="16"/>
                <w:szCs w:val="22"/>
              </w:rPr>
              <w:t>Subtotal 1</w:t>
            </w:r>
          </w:p>
        </w:tc>
        <w:tc>
          <w:tcPr>
            <w:tcW w:w="1857" w:type="dxa"/>
            <w:noWrap/>
          </w:tcPr>
          <w:p w14:paraId="353E20A3" w14:textId="3D2CD4F9"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b/>
                <w:bCs/>
                <w:sz w:val="16"/>
                <w:szCs w:val="20"/>
              </w:rPr>
            </w:pPr>
            <w:r w:rsidRPr="00646FE9">
              <w:rPr>
                <w:b/>
                <w:bCs/>
                <w:sz w:val="16"/>
                <w:szCs w:val="20"/>
              </w:rPr>
              <w:t>$1.149.230</w:t>
            </w:r>
          </w:p>
        </w:tc>
        <w:tc>
          <w:tcPr>
            <w:tcW w:w="1559" w:type="dxa"/>
            <w:noWrap/>
          </w:tcPr>
          <w:p w14:paraId="2B76DCCA" w14:textId="77777777"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color w:val="000000"/>
                <w:sz w:val="16"/>
                <w:szCs w:val="22"/>
              </w:rPr>
            </w:pPr>
          </w:p>
        </w:tc>
        <w:tc>
          <w:tcPr>
            <w:tcW w:w="1731" w:type="dxa"/>
            <w:noWrap/>
          </w:tcPr>
          <w:p w14:paraId="0A01077B" w14:textId="0C2AE2E6"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b/>
                <w:bCs/>
                <w:sz w:val="16"/>
                <w:szCs w:val="20"/>
              </w:rPr>
            </w:pPr>
            <w:r w:rsidRPr="00646FE9">
              <w:rPr>
                <w:b/>
                <w:bCs/>
                <w:sz w:val="16"/>
                <w:szCs w:val="20"/>
              </w:rPr>
              <w:t>$131.004</w:t>
            </w:r>
          </w:p>
        </w:tc>
        <w:tc>
          <w:tcPr>
            <w:tcW w:w="1530" w:type="dxa"/>
          </w:tcPr>
          <w:p w14:paraId="6488A1D8" w14:textId="77777777" w:rsidR="0012522D" w:rsidRPr="00646FE9" w:rsidRDefault="0012522D" w:rsidP="007301BF">
            <w:pPr>
              <w:spacing w:after="100" w:afterAutospacing="1"/>
              <w:jc w:val="right"/>
              <w:cnfStyle w:val="000000100000" w:firstRow="0" w:lastRow="0" w:firstColumn="0" w:lastColumn="0" w:oddVBand="0" w:evenVBand="0" w:oddHBand="1" w:evenHBand="0" w:firstRowFirstColumn="0" w:firstRowLastColumn="0" w:lastRowFirstColumn="0" w:lastRowLastColumn="0"/>
              <w:rPr>
                <w:b/>
                <w:bCs/>
                <w:sz w:val="16"/>
                <w:szCs w:val="20"/>
              </w:rPr>
            </w:pPr>
          </w:p>
        </w:tc>
      </w:tr>
      <w:tr w:rsidR="0012522D" w:rsidRPr="00646FE9" w14:paraId="1919E178" w14:textId="1275A73F" w:rsidTr="00E1445F">
        <w:trPr>
          <w:trHeight w:val="68"/>
          <w:jc w:val="right"/>
        </w:trPr>
        <w:tc>
          <w:tcPr>
            <w:cnfStyle w:val="001000000000" w:firstRow="0" w:lastRow="0" w:firstColumn="1" w:lastColumn="0" w:oddVBand="0" w:evenVBand="0" w:oddHBand="0" w:evenHBand="0" w:firstRowFirstColumn="0" w:firstRowLastColumn="0" w:lastRowFirstColumn="0" w:lastRowLastColumn="0"/>
            <w:tcW w:w="1115" w:type="dxa"/>
            <w:noWrap/>
            <w:hideMark/>
          </w:tcPr>
          <w:p w14:paraId="0BD3AA13" w14:textId="5F7279D2" w:rsidR="0012522D" w:rsidRPr="00646FE9" w:rsidRDefault="0012522D" w:rsidP="007301BF">
            <w:pPr>
              <w:spacing w:after="100" w:afterAutospacing="1"/>
              <w:rPr>
                <w:color w:val="000000"/>
                <w:sz w:val="16"/>
                <w:szCs w:val="22"/>
              </w:rPr>
            </w:pPr>
            <w:r w:rsidRPr="00646FE9">
              <w:rPr>
                <w:b w:val="0"/>
                <w:color w:val="000000"/>
                <w:sz w:val="16"/>
                <w:szCs w:val="22"/>
              </w:rPr>
              <w:t>Total</w:t>
            </w:r>
          </w:p>
        </w:tc>
        <w:tc>
          <w:tcPr>
            <w:tcW w:w="1857" w:type="dxa"/>
            <w:noWrap/>
            <w:hideMark/>
          </w:tcPr>
          <w:p w14:paraId="52305532" w14:textId="3E55F6A6"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b/>
                <w:bCs/>
                <w:sz w:val="16"/>
                <w:szCs w:val="20"/>
              </w:rPr>
            </w:pPr>
            <w:r w:rsidRPr="00646FE9">
              <w:rPr>
                <w:b/>
                <w:bCs/>
                <w:sz w:val="16"/>
                <w:szCs w:val="20"/>
              </w:rPr>
              <w:t>$1.713.350</w:t>
            </w:r>
          </w:p>
        </w:tc>
        <w:tc>
          <w:tcPr>
            <w:tcW w:w="1559" w:type="dxa"/>
            <w:noWrap/>
            <w:hideMark/>
          </w:tcPr>
          <w:p w14:paraId="1A065816" w14:textId="1DBFCBAD"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color w:val="000000"/>
                <w:sz w:val="16"/>
                <w:szCs w:val="22"/>
              </w:rPr>
            </w:pPr>
          </w:p>
        </w:tc>
        <w:tc>
          <w:tcPr>
            <w:tcW w:w="1731" w:type="dxa"/>
            <w:noWrap/>
            <w:hideMark/>
          </w:tcPr>
          <w:p w14:paraId="006E0DF3" w14:textId="0102A580"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b/>
                <w:bCs/>
                <w:sz w:val="16"/>
                <w:szCs w:val="20"/>
              </w:rPr>
            </w:pPr>
            <w:r w:rsidRPr="00646FE9">
              <w:rPr>
                <w:b/>
                <w:bCs/>
                <w:sz w:val="16"/>
                <w:szCs w:val="20"/>
              </w:rPr>
              <w:t>$250.338</w:t>
            </w:r>
          </w:p>
        </w:tc>
        <w:tc>
          <w:tcPr>
            <w:tcW w:w="1530" w:type="dxa"/>
          </w:tcPr>
          <w:p w14:paraId="469DC519" w14:textId="77777777" w:rsidR="0012522D" w:rsidRPr="00646FE9" w:rsidRDefault="0012522D" w:rsidP="007301BF">
            <w:pPr>
              <w:spacing w:after="100" w:afterAutospacing="1"/>
              <w:jc w:val="right"/>
              <w:cnfStyle w:val="000000000000" w:firstRow="0" w:lastRow="0" w:firstColumn="0" w:lastColumn="0" w:oddVBand="0" w:evenVBand="0" w:oddHBand="0" w:evenHBand="0" w:firstRowFirstColumn="0" w:firstRowLastColumn="0" w:lastRowFirstColumn="0" w:lastRowLastColumn="0"/>
              <w:rPr>
                <w:b/>
                <w:bCs/>
                <w:sz w:val="16"/>
                <w:szCs w:val="20"/>
              </w:rPr>
            </w:pPr>
          </w:p>
        </w:tc>
      </w:tr>
    </w:tbl>
    <w:p w14:paraId="52E475AD" w14:textId="11D98C22" w:rsidR="005952B9" w:rsidRPr="00D60E40" w:rsidRDefault="006C083D">
      <w:pPr>
        <w:rPr>
          <w:color w:val="A6A6A6" w:themeColor="background1" w:themeShade="A6"/>
          <w:sz w:val="20"/>
        </w:rPr>
      </w:pPr>
      <w:r w:rsidRPr="00D60E40">
        <w:rPr>
          <w:color w:val="A6A6A6" w:themeColor="background1" w:themeShade="A6"/>
          <w:sz w:val="20"/>
        </w:rPr>
        <w:t>Fuente. Construcción Propia</w:t>
      </w:r>
    </w:p>
    <w:p w14:paraId="34E62184" w14:textId="77777777" w:rsidR="007301BF" w:rsidRPr="00AB799C" w:rsidRDefault="007301BF">
      <w:pPr>
        <w:rPr>
          <w:b/>
          <w:color w:val="385623" w:themeColor="accent6" w:themeShade="80"/>
          <w:sz w:val="6"/>
        </w:rPr>
      </w:pPr>
    </w:p>
    <w:p w14:paraId="357DB3DB" w14:textId="1777F277" w:rsidR="006C083D" w:rsidRDefault="00D556F8">
      <w:pPr>
        <w:rPr>
          <w:b/>
          <w:color w:val="385623" w:themeColor="accent6" w:themeShade="80"/>
          <w:sz w:val="22"/>
        </w:rPr>
      </w:pPr>
      <w:r>
        <w:rPr>
          <w:b/>
          <w:color w:val="385623" w:themeColor="accent6" w:themeShade="80"/>
          <w:sz w:val="22"/>
        </w:rPr>
        <w:t>Observac</w:t>
      </w:r>
      <w:r w:rsidR="00690B1C">
        <w:rPr>
          <w:b/>
          <w:color w:val="385623" w:themeColor="accent6" w:themeShade="80"/>
          <w:sz w:val="22"/>
        </w:rPr>
        <w:t>ión</w:t>
      </w:r>
    </w:p>
    <w:p w14:paraId="59295D3E" w14:textId="4BB05B44" w:rsidR="00F81B63" w:rsidRDefault="00BD0D9F" w:rsidP="00C41454">
      <w:pPr>
        <w:jc w:val="both"/>
        <w:rPr>
          <w:sz w:val="22"/>
        </w:rPr>
      </w:pPr>
      <w:r>
        <w:rPr>
          <w:sz w:val="22"/>
        </w:rPr>
        <w:t>De acuerdo con la proyección realizada, tenemos que</w:t>
      </w:r>
      <w:r w:rsidR="00F81B63">
        <w:rPr>
          <w:sz w:val="22"/>
        </w:rPr>
        <w:t>:</w:t>
      </w:r>
    </w:p>
    <w:p w14:paraId="6DCA74D4" w14:textId="742CA7D7" w:rsidR="00F81B63" w:rsidRPr="00F81B63" w:rsidRDefault="00F81B63" w:rsidP="00F81B63">
      <w:pPr>
        <w:pStyle w:val="Prrafodelista"/>
        <w:numPr>
          <w:ilvl w:val="0"/>
          <w:numId w:val="71"/>
        </w:numPr>
        <w:ind w:left="284" w:hanging="284"/>
        <w:jc w:val="both"/>
        <w:rPr>
          <w:sz w:val="22"/>
        </w:rPr>
      </w:pPr>
      <w:r>
        <w:rPr>
          <w:sz w:val="22"/>
        </w:rPr>
        <w:t>S</w:t>
      </w:r>
      <w:r w:rsidRPr="00F81B63">
        <w:rPr>
          <w:sz w:val="22"/>
        </w:rPr>
        <w:t xml:space="preserve">e evidencia que el límite de los $200.000 millones establecidos en la ley, se alcanzaría en el año 2026; </w:t>
      </w:r>
      <w:r w:rsidRPr="00812E14">
        <w:rPr>
          <w:sz w:val="22"/>
        </w:rPr>
        <w:t>es decir al límite establecido en la norma.</w:t>
      </w:r>
      <w:r>
        <w:rPr>
          <w:sz w:val="22"/>
        </w:rPr>
        <w:t xml:space="preserve">  Por lo anterior, se agotaría </w:t>
      </w:r>
      <w:r w:rsidRPr="00F81B63">
        <w:rPr>
          <w:sz w:val="22"/>
        </w:rPr>
        <w:t xml:space="preserve">seis (6) años antes de finalizar el pago del crédito de los $220.000 millones definidos como fuente de financiación del proyecto. </w:t>
      </w:r>
    </w:p>
    <w:p w14:paraId="3FCA0775" w14:textId="77777777" w:rsidR="00F81B63" w:rsidRPr="00AB799C" w:rsidRDefault="00F81B63" w:rsidP="00F81B63">
      <w:pPr>
        <w:ind w:left="284" w:hanging="284"/>
        <w:jc w:val="both"/>
        <w:rPr>
          <w:sz w:val="12"/>
        </w:rPr>
      </w:pPr>
    </w:p>
    <w:p w14:paraId="1B515972" w14:textId="6BE6D442" w:rsidR="00690B1C" w:rsidRPr="00690B1C" w:rsidRDefault="00690B1C" w:rsidP="00690B1C">
      <w:pPr>
        <w:rPr>
          <w:b/>
          <w:color w:val="385623" w:themeColor="accent6" w:themeShade="80"/>
          <w:sz w:val="22"/>
        </w:rPr>
      </w:pPr>
      <w:r w:rsidRPr="00690B1C">
        <w:rPr>
          <w:b/>
          <w:color w:val="385623" w:themeColor="accent6" w:themeShade="80"/>
          <w:sz w:val="22"/>
        </w:rPr>
        <w:t>Riesgo</w:t>
      </w:r>
    </w:p>
    <w:p w14:paraId="56C740C5" w14:textId="20B88857" w:rsidR="00700D24" w:rsidRPr="000E4BC0" w:rsidRDefault="00EC0019" w:rsidP="000E4BC0">
      <w:pPr>
        <w:jc w:val="both"/>
        <w:rPr>
          <w:sz w:val="22"/>
          <w:szCs w:val="22"/>
        </w:rPr>
      </w:pPr>
      <w:r>
        <w:rPr>
          <w:sz w:val="22"/>
          <w:szCs w:val="22"/>
        </w:rPr>
        <w:t xml:space="preserve">Posible insuficiencia de recursos para </w:t>
      </w:r>
      <w:r w:rsidR="005576A6">
        <w:rPr>
          <w:sz w:val="22"/>
          <w:szCs w:val="22"/>
        </w:rPr>
        <w:t>próximos proyectos</w:t>
      </w:r>
      <w:r w:rsidR="00700D24">
        <w:rPr>
          <w:sz w:val="22"/>
          <w:szCs w:val="22"/>
        </w:rPr>
        <w:t>.</w:t>
      </w:r>
    </w:p>
    <w:p w14:paraId="1169EA5B" w14:textId="32E1A35C" w:rsidR="00690B1C" w:rsidRDefault="00690B1C" w:rsidP="006C083D">
      <w:pPr>
        <w:jc w:val="both"/>
        <w:rPr>
          <w:sz w:val="22"/>
        </w:rPr>
      </w:pPr>
    </w:p>
    <w:p w14:paraId="1544C49C" w14:textId="6D77EDEA" w:rsidR="00690B1C" w:rsidRDefault="00690B1C" w:rsidP="00690B1C">
      <w:pPr>
        <w:rPr>
          <w:b/>
          <w:color w:val="385623" w:themeColor="accent6" w:themeShade="80"/>
          <w:sz w:val="22"/>
        </w:rPr>
      </w:pPr>
      <w:r w:rsidRPr="00690B1C">
        <w:rPr>
          <w:b/>
          <w:color w:val="385623" w:themeColor="accent6" w:themeShade="80"/>
          <w:sz w:val="22"/>
        </w:rPr>
        <w:t>Recomendación</w:t>
      </w:r>
    </w:p>
    <w:p w14:paraId="4DB352F8" w14:textId="15D81719" w:rsidR="003A519F" w:rsidRPr="005576A6" w:rsidRDefault="003A519F" w:rsidP="009A58B6">
      <w:pPr>
        <w:jc w:val="both"/>
        <w:rPr>
          <w:sz w:val="22"/>
        </w:rPr>
      </w:pPr>
      <w:r w:rsidRPr="005576A6">
        <w:rPr>
          <w:sz w:val="22"/>
        </w:rPr>
        <w:t xml:space="preserve">Evaluar el recurso </w:t>
      </w:r>
      <w:r w:rsidR="00BD0D9F">
        <w:rPr>
          <w:sz w:val="22"/>
        </w:rPr>
        <w:t>que</w:t>
      </w:r>
      <w:r w:rsidRPr="005576A6">
        <w:rPr>
          <w:sz w:val="22"/>
        </w:rPr>
        <w:t xml:space="preserve"> </w:t>
      </w:r>
      <w:r w:rsidR="00BD0D9F" w:rsidRPr="005576A6">
        <w:rPr>
          <w:sz w:val="22"/>
        </w:rPr>
        <w:t>respald</w:t>
      </w:r>
      <w:r w:rsidR="00BD0D9F">
        <w:rPr>
          <w:sz w:val="22"/>
        </w:rPr>
        <w:t>a</w:t>
      </w:r>
      <w:r w:rsidR="00F81B63">
        <w:rPr>
          <w:sz w:val="22"/>
        </w:rPr>
        <w:t>ría</w:t>
      </w:r>
      <w:r w:rsidR="00BD0D9F" w:rsidRPr="005576A6">
        <w:rPr>
          <w:sz w:val="22"/>
        </w:rPr>
        <w:t xml:space="preserve"> </w:t>
      </w:r>
      <w:r w:rsidRPr="005576A6">
        <w:rPr>
          <w:sz w:val="22"/>
        </w:rPr>
        <w:t>la deuda del crédito estimado, dado que l</w:t>
      </w:r>
      <w:r w:rsidR="00F81B63">
        <w:rPr>
          <w:sz w:val="22"/>
        </w:rPr>
        <w:t>o</w:t>
      </w:r>
      <w:r w:rsidRPr="005576A6">
        <w:rPr>
          <w:sz w:val="22"/>
        </w:rPr>
        <w:t xml:space="preserve"> proyectado</w:t>
      </w:r>
      <w:r w:rsidR="00BD0D9F">
        <w:rPr>
          <w:sz w:val="22"/>
        </w:rPr>
        <w:t xml:space="preserve"> con estampilla</w:t>
      </w:r>
      <w:r w:rsidRPr="005576A6">
        <w:rPr>
          <w:sz w:val="22"/>
        </w:rPr>
        <w:t xml:space="preserve"> finalizaría aproximadamente en el año 2026.</w:t>
      </w:r>
    </w:p>
    <w:p w14:paraId="710E473B" w14:textId="77777777" w:rsidR="00F3193F" w:rsidRDefault="00F3193F" w:rsidP="00006530">
      <w:pPr>
        <w:pStyle w:val="Prrafodelista"/>
        <w:ind w:left="567"/>
        <w:rPr>
          <w:b/>
          <w:color w:val="385623" w:themeColor="accent6" w:themeShade="80"/>
          <w:sz w:val="22"/>
        </w:rPr>
      </w:pPr>
    </w:p>
    <w:p w14:paraId="3165F63D" w14:textId="77777777" w:rsidR="009B1587" w:rsidRPr="009B1587" w:rsidRDefault="009B1587" w:rsidP="009B1587">
      <w:pPr>
        <w:rPr>
          <w:bCs/>
          <w:sz w:val="22"/>
          <w:szCs w:val="22"/>
        </w:rPr>
      </w:pPr>
      <w:r w:rsidRPr="009B1587">
        <w:rPr>
          <w:b/>
          <w:color w:val="385623" w:themeColor="accent6" w:themeShade="80"/>
          <w:sz w:val="22"/>
        </w:rPr>
        <w:t xml:space="preserve">Comentarios Administración </w:t>
      </w:r>
    </w:p>
    <w:p w14:paraId="31979E51" w14:textId="77777777" w:rsidR="00AB799C" w:rsidRDefault="00AB799C" w:rsidP="009B1587">
      <w:pPr>
        <w:jc w:val="both"/>
        <w:rPr>
          <w:bCs/>
          <w:sz w:val="22"/>
          <w:szCs w:val="22"/>
        </w:rPr>
      </w:pPr>
      <w:r>
        <w:rPr>
          <w:bCs/>
          <w:sz w:val="22"/>
          <w:szCs w:val="22"/>
        </w:rPr>
        <w:t>Tener en cuenta que lo académico sería de Fondos comunes.</w:t>
      </w:r>
    </w:p>
    <w:p w14:paraId="2FA447FF" w14:textId="081F3DEF" w:rsidR="009B1587" w:rsidRPr="009B1587" w:rsidRDefault="009B1587" w:rsidP="009B1587">
      <w:pPr>
        <w:jc w:val="both"/>
        <w:rPr>
          <w:bCs/>
          <w:sz w:val="22"/>
          <w:szCs w:val="22"/>
        </w:rPr>
      </w:pPr>
      <w:r w:rsidRPr="009B1587">
        <w:rPr>
          <w:bCs/>
          <w:sz w:val="22"/>
          <w:szCs w:val="22"/>
        </w:rPr>
        <w:t xml:space="preserve">De </w:t>
      </w:r>
      <w:r w:rsidRPr="009B1587">
        <w:rPr>
          <w:sz w:val="22"/>
        </w:rPr>
        <w:t>acuerdo</w:t>
      </w:r>
      <w:r w:rsidRPr="009B1587">
        <w:rPr>
          <w:bCs/>
          <w:sz w:val="22"/>
          <w:szCs w:val="22"/>
        </w:rPr>
        <w:t xml:space="preserve"> con la recomendación</w:t>
      </w:r>
    </w:p>
    <w:p w14:paraId="463F7A06" w14:textId="77777777" w:rsidR="00690B1C" w:rsidRDefault="00690B1C" w:rsidP="00B74F7B">
      <w:pPr>
        <w:spacing w:after="160" w:line="259" w:lineRule="auto"/>
        <w:rPr>
          <w:b/>
          <w:color w:val="385623" w:themeColor="accent6" w:themeShade="80"/>
          <w:sz w:val="22"/>
        </w:rPr>
      </w:pPr>
    </w:p>
    <w:p w14:paraId="0D5971C1" w14:textId="196D97D4" w:rsidR="00006530" w:rsidRPr="00D556F8" w:rsidRDefault="00006530" w:rsidP="00646FE9">
      <w:pPr>
        <w:pStyle w:val="Prrafodelista"/>
        <w:numPr>
          <w:ilvl w:val="0"/>
          <w:numId w:val="62"/>
        </w:numPr>
        <w:ind w:left="567" w:hanging="425"/>
        <w:rPr>
          <w:b/>
          <w:color w:val="385623" w:themeColor="accent6" w:themeShade="80"/>
          <w:sz w:val="22"/>
        </w:rPr>
      </w:pPr>
      <w:r w:rsidRPr="00D556F8">
        <w:rPr>
          <w:b/>
          <w:color w:val="385623" w:themeColor="accent6" w:themeShade="80"/>
          <w:sz w:val="22"/>
        </w:rPr>
        <w:t>Estimación de recaudos de estampilla para pago de deuda.</w:t>
      </w:r>
    </w:p>
    <w:p w14:paraId="2FA37FF9" w14:textId="77777777" w:rsidR="00D556F8" w:rsidRDefault="00D556F8" w:rsidP="00006530">
      <w:pPr>
        <w:jc w:val="both"/>
        <w:rPr>
          <w:sz w:val="22"/>
          <w:szCs w:val="22"/>
        </w:rPr>
      </w:pPr>
    </w:p>
    <w:p w14:paraId="50521783" w14:textId="3DC3098C" w:rsidR="00F81B63" w:rsidRDefault="00006530" w:rsidP="00006530">
      <w:pPr>
        <w:jc w:val="both"/>
        <w:rPr>
          <w:sz w:val="22"/>
          <w:szCs w:val="22"/>
        </w:rPr>
      </w:pPr>
      <w:r w:rsidRPr="005F0B1B">
        <w:rPr>
          <w:sz w:val="22"/>
          <w:szCs w:val="22"/>
        </w:rPr>
        <w:t>De acuerdo</w:t>
      </w:r>
      <w:r>
        <w:rPr>
          <w:sz w:val="22"/>
          <w:szCs w:val="22"/>
        </w:rPr>
        <w:t xml:space="preserve"> con el archivo de Excel “</w:t>
      </w:r>
      <w:r w:rsidRPr="009C51F7">
        <w:rPr>
          <w:i/>
          <w:sz w:val="22"/>
          <w:szCs w:val="22"/>
        </w:rPr>
        <w:t>1. Crédito 220 millones –Servicio deuda recaudo estampilla</w:t>
      </w:r>
      <w:r>
        <w:rPr>
          <w:sz w:val="22"/>
          <w:szCs w:val="22"/>
        </w:rPr>
        <w:t xml:space="preserve">” suministrado por </w:t>
      </w:r>
      <w:r w:rsidR="00FE3FA5">
        <w:rPr>
          <w:sz w:val="22"/>
          <w:szCs w:val="22"/>
        </w:rPr>
        <w:t>la Unidad</w:t>
      </w:r>
      <w:r>
        <w:rPr>
          <w:sz w:val="22"/>
          <w:szCs w:val="22"/>
        </w:rPr>
        <w:t xml:space="preserve"> de </w:t>
      </w:r>
      <w:r w:rsidR="00BD0D9F">
        <w:rPr>
          <w:sz w:val="22"/>
          <w:szCs w:val="22"/>
        </w:rPr>
        <w:t>P</w:t>
      </w:r>
      <w:r w:rsidR="00BD0D9F" w:rsidRPr="00D556F8">
        <w:rPr>
          <w:sz w:val="22"/>
          <w:szCs w:val="22"/>
        </w:rPr>
        <w:t xml:space="preserve">royectos </w:t>
      </w:r>
      <w:r w:rsidR="00BD0D9F">
        <w:rPr>
          <w:sz w:val="22"/>
          <w:szCs w:val="22"/>
        </w:rPr>
        <w:t>E</w:t>
      </w:r>
      <w:r w:rsidR="00BD0D9F" w:rsidRPr="00D556F8">
        <w:rPr>
          <w:sz w:val="22"/>
          <w:szCs w:val="22"/>
        </w:rPr>
        <w:t>speciales</w:t>
      </w:r>
      <w:r>
        <w:rPr>
          <w:sz w:val="22"/>
          <w:szCs w:val="22"/>
        </w:rPr>
        <w:t xml:space="preserve">, </w:t>
      </w:r>
      <w:r w:rsidR="00F81B63">
        <w:rPr>
          <w:sz w:val="22"/>
          <w:szCs w:val="22"/>
        </w:rPr>
        <w:t>tenemos:</w:t>
      </w:r>
    </w:p>
    <w:p w14:paraId="7520A5A0" w14:textId="77777777" w:rsidR="00F81B63" w:rsidRDefault="00F81B63" w:rsidP="00006530">
      <w:pPr>
        <w:jc w:val="both"/>
        <w:rPr>
          <w:sz w:val="22"/>
          <w:szCs w:val="22"/>
        </w:rPr>
      </w:pPr>
    </w:p>
    <w:p w14:paraId="46D21A08" w14:textId="51904D8A" w:rsidR="00F81B63" w:rsidRDefault="00F81B63" w:rsidP="00F81B63">
      <w:pPr>
        <w:pStyle w:val="Prrafodelista"/>
        <w:numPr>
          <w:ilvl w:val="0"/>
          <w:numId w:val="72"/>
        </w:numPr>
        <w:jc w:val="both"/>
        <w:rPr>
          <w:sz w:val="22"/>
          <w:szCs w:val="22"/>
        </w:rPr>
      </w:pPr>
      <w:r w:rsidRPr="00F81B63">
        <w:rPr>
          <w:sz w:val="22"/>
          <w:szCs w:val="22"/>
        </w:rPr>
        <w:t>L</w:t>
      </w:r>
      <w:r w:rsidR="00006530" w:rsidRPr="00F81B63">
        <w:rPr>
          <w:sz w:val="22"/>
          <w:szCs w:val="22"/>
        </w:rPr>
        <w:t xml:space="preserve">a proyección de los ingresos por estampilla versus el servicio de la deuda hasta el año 2032, </w:t>
      </w:r>
      <w:r>
        <w:rPr>
          <w:sz w:val="22"/>
          <w:szCs w:val="22"/>
        </w:rPr>
        <w:t>presenta</w:t>
      </w:r>
      <w:r w:rsidR="00006530" w:rsidRPr="00F81B63">
        <w:rPr>
          <w:sz w:val="22"/>
          <w:szCs w:val="22"/>
        </w:rPr>
        <w:t xml:space="preserve"> </w:t>
      </w:r>
      <w:r>
        <w:rPr>
          <w:sz w:val="22"/>
          <w:szCs w:val="22"/>
        </w:rPr>
        <w:t xml:space="preserve">que, </w:t>
      </w:r>
      <w:r w:rsidR="00BD0D9F" w:rsidRPr="00F81B63">
        <w:rPr>
          <w:sz w:val="22"/>
          <w:szCs w:val="22"/>
        </w:rPr>
        <w:t xml:space="preserve">en </w:t>
      </w:r>
      <w:r w:rsidR="00006530" w:rsidRPr="00F81B63">
        <w:rPr>
          <w:sz w:val="22"/>
          <w:szCs w:val="22"/>
        </w:rPr>
        <w:t xml:space="preserve">algunos años el porcentaje de </w:t>
      </w:r>
      <w:r w:rsidR="00BD0D9F" w:rsidRPr="00F81B63">
        <w:rPr>
          <w:sz w:val="22"/>
          <w:szCs w:val="22"/>
        </w:rPr>
        <w:t xml:space="preserve">dichos </w:t>
      </w:r>
      <w:r w:rsidR="00006530" w:rsidRPr="00F81B63">
        <w:rPr>
          <w:sz w:val="22"/>
          <w:szCs w:val="22"/>
        </w:rPr>
        <w:t>ingresos destina</w:t>
      </w:r>
      <w:r w:rsidR="00BD0D9F" w:rsidRPr="00F81B63">
        <w:rPr>
          <w:sz w:val="22"/>
          <w:szCs w:val="22"/>
        </w:rPr>
        <w:t>dos</w:t>
      </w:r>
      <w:r w:rsidR="00006530" w:rsidRPr="00F81B63">
        <w:rPr>
          <w:sz w:val="22"/>
          <w:szCs w:val="22"/>
        </w:rPr>
        <w:t xml:space="preserve"> al pago de las deudas vigentes al 2017 y </w:t>
      </w:r>
      <w:r w:rsidR="00DE150D" w:rsidRPr="00F81B63">
        <w:rPr>
          <w:sz w:val="22"/>
          <w:szCs w:val="22"/>
        </w:rPr>
        <w:t xml:space="preserve">los </w:t>
      </w:r>
      <w:r w:rsidR="00006530" w:rsidRPr="00F81B63">
        <w:rPr>
          <w:sz w:val="22"/>
          <w:szCs w:val="22"/>
        </w:rPr>
        <w:t>genera</w:t>
      </w:r>
      <w:r w:rsidR="00DE150D" w:rsidRPr="00F81B63">
        <w:rPr>
          <w:sz w:val="22"/>
          <w:szCs w:val="22"/>
        </w:rPr>
        <w:t>dos</w:t>
      </w:r>
      <w:r w:rsidR="00006530" w:rsidRPr="00F81B63">
        <w:rPr>
          <w:sz w:val="22"/>
          <w:szCs w:val="22"/>
        </w:rPr>
        <w:t xml:space="preserve"> con el nuevo empréstito de los $200 mil millones</w:t>
      </w:r>
      <w:r w:rsidR="00EE155C" w:rsidRPr="00F81B63">
        <w:rPr>
          <w:sz w:val="22"/>
          <w:szCs w:val="22"/>
        </w:rPr>
        <w:t>,</w:t>
      </w:r>
      <w:r w:rsidR="00DE150D" w:rsidRPr="00F81B63">
        <w:rPr>
          <w:sz w:val="22"/>
          <w:szCs w:val="22"/>
        </w:rPr>
        <w:t xml:space="preserve"> </w:t>
      </w:r>
      <w:r w:rsidR="00006530" w:rsidRPr="00F81B63">
        <w:rPr>
          <w:sz w:val="22"/>
          <w:szCs w:val="22"/>
        </w:rPr>
        <w:t>alcanzaría</w:t>
      </w:r>
      <w:r>
        <w:rPr>
          <w:sz w:val="22"/>
          <w:szCs w:val="22"/>
        </w:rPr>
        <w:t>n</w:t>
      </w:r>
      <w:r w:rsidR="00006530" w:rsidRPr="00F81B63">
        <w:rPr>
          <w:sz w:val="22"/>
          <w:szCs w:val="22"/>
        </w:rPr>
        <w:t xml:space="preserve"> niveles superiores al 50%</w:t>
      </w:r>
      <w:r w:rsidR="00DE150D" w:rsidRPr="00F81B63">
        <w:rPr>
          <w:sz w:val="22"/>
          <w:szCs w:val="22"/>
        </w:rPr>
        <w:t xml:space="preserve">, </w:t>
      </w:r>
      <w:r>
        <w:rPr>
          <w:sz w:val="22"/>
          <w:szCs w:val="22"/>
        </w:rPr>
        <w:t xml:space="preserve">en consideración </w:t>
      </w:r>
      <w:r w:rsidR="00931072">
        <w:rPr>
          <w:sz w:val="22"/>
          <w:szCs w:val="22"/>
        </w:rPr>
        <w:t>a</w:t>
      </w:r>
      <w:r w:rsidR="00DE150D" w:rsidRPr="00F81B63">
        <w:rPr>
          <w:color w:val="FF0000"/>
          <w:sz w:val="22"/>
          <w:szCs w:val="22"/>
        </w:rPr>
        <w:t xml:space="preserve"> </w:t>
      </w:r>
      <w:r w:rsidR="00DE150D" w:rsidRPr="003A7278">
        <w:rPr>
          <w:sz w:val="22"/>
          <w:szCs w:val="22"/>
        </w:rPr>
        <w:t>lo estipula</w:t>
      </w:r>
      <w:r w:rsidR="00931072" w:rsidRPr="003A7278">
        <w:rPr>
          <w:sz w:val="22"/>
          <w:szCs w:val="22"/>
        </w:rPr>
        <w:t>do por</w:t>
      </w:r>
      <w:r w:rsidR="00DE150D" w:rsidRPr="003A7278">
        <w:rPr>
          <w:sz w:val="22"/>
          <w:szCs w:val="22"/>
        </w:rPr>
        <w:t xml:space="preserve"> la norma</w:t>
      </w:r>
      <w:r w:rsidR="003A7278" w:rsidRPr="003A7278">
        <w:rPr>
          <w:sz w:val="22"/>
          <w:szCs w:val="22"/>
        </w:rPr>
        <w:t xml:space="preserve"> (</w:t>
      </w:r>
      <w:r w:rsidR="003A7278" w:rsidRPr="003A7278">
        <w:rPr>
          <w:sz w:val="22"/>
        </w:rPr>
        <w:t xml:space="preserve">Ley </w:t>
      </w:r>
      <w:r w:rsidR="003A7278">
        <w:rPr>
          <w:sz w:val="22"/>
        </w:rPr>
        <w:t>1321 de 2009)</w:t>
      </w:r>
      <w:r w:rsidR="00006530" w:rsidRPr="00F81B63">
        <w:rPr>
          <w:sz w:val="22"/>
          <w:szCs w:val="22"/>
        </w:rPr>
        <w:t xml:space="preserve">.  </w:t>
      </w:r>
    </w:p>
    <w:p w14:paraId="093EE286" w14:textId="78533B99" w:rsidR="003A7278" w:rsidRDefault="003A7278" w:rsidP="00F81B63">
      <w:pPr>
        <w:pStyle w:val="Prrafodelista"/>
        <w:jc w:val="both"/>
        <w:rPr>
          <w:sz w:val="22"/>
          <w:szCs w:val="22"/>
        </w:rPr>
      </w:pPr>
    </w:p>
    <w:p w14:paraId="7943B15F" w14:textId="4BBD0836" w:rsidR="00006530" w:rsidRPr="00F81B63" w:rsidRDefault="00F81B63" w:rsidP="00F81B63">
      <w:pPr>
        <w:pStyle w:val="Prrafodelista"/>
        <w:numPr>
          <w:ilvl w:val="0"/>
          <w:numId w:val="72"/>
        </w:numPr>
        <w:jc w:val="both"/>
        <w:rPr>
          <w:sz w:val="22"/>
          <w:szCs w:val="22"/>
        </w:rPr>
      </w:pPr>
      <w:r>
        <w:rPr>
          <w:sz w:val="22"/>
          <w:szCs w:val="22"/>
        </w:rPr>
        <w:t>El</w:t>
      </w:r>
      <w:r w:rsidR="00DE150D" w:rsidRPr="00F81B63">
        <w:rPr>
          <w:sz w:val="22"/>
          <w:szCs w:val="22"/>
        </w:rPr>
        <w:t xml:space="preserve"> detall</w:t>
      </w:r>
      <w:r>
        <w:rPr>
          <w:sz w:val="22"/>
          <w:szCs w:val="22"/>
        </w:rPr>
        <w:t>e</w:t>
      </w:r>
      <w:r w:rsidR="00DE150D" w:rsidRPr="00F81B63">
        <w:rPr>
          <w:sz w:val="22"/>
          <w:szCs w:val="22"/>
        </w:rPr>
        <w:t xml:space="preserve"> </w:t>
      </w:r>
      <w:r>
        <w:rPr>
          <w:sz w:val="22"/>
          <w:szCs w:val="22"/>
        </w:rPr>
        <w:t xml:space="preserve">de </w:t>
      </w:r>
      <w:r w:rsidR="00DE150D" w:rsidRPr="00F81B63">
        <w:rPr>
          <w:sz w:val="22"/>
          <w:szCs w:val="22"/>
        </w:rPr>
        <w:t>l</w:t>
      </w:r>
      <w:r w:rsidR="00006530" w:rsidRPr="00F81B63">
        <w:rPr>
          <w:sz w:val="22"/>
          <w:szCs w:val="22"/>
        </w:rPr>
        <w:t xml:space="preserve">a proyección </w:t>
      </w:r>
      <w:r w:rsidR="00DE150D" w:rsidRPr="00F81B63">
        <w:rPr>
          <w:sz w:val="22"/>
          <w:szCs w:val="22"/>
        </w:rPr>
        <w:t>realizada</w:t>
      </w:r>
      <w:r>
        <w:rPr>
          <w:sz w:val="22"/>
          <w:szCs w:val="22"/>
        </w:rPr>
        <w:t>, corresponde a</w:t>
      </w:r>
      <w:r w:rsidR="00006530" w:rsidRPr="00F81B63">
        <w:rPr>
          <w:sz w:val="22"/>
          <w:szCs w:val="22"/>
        </w:rPr>
        <w:t>:</w:t>
      </w:r>
    </w:p>
    <w:p w14:paraId="34F870D7" w14:textId="77777777" w:rsidR="00006530" w:rsidRPr="005F0B1B" w:rsidRDefault="00006530" w:rsidP="00006530">
      <w:pPr>
        <w:jc w:val="both"/>
        <w:rPr>
          <w:sz w:val="22"/>
          <w:szCs w:val="22"/>
        </w:rPr>
      </w:pPr>
    </w:p>
    <w:tbl>
      <w:tblPr>
        <w:tblStyle w:val="Tabladecuadrcula2-nfasis6"/>
        <w:tblW w:w="4962" w:type="dxa"/>
        <w:jc w:val="center"/>
        <w:tblLook w:val="04A0" w:firstRow="1" w:lastRow="0" w:firstColumn="1" w:lastColumn="0" w:noHBand="0" w:noVBand="1"/>
      </w:tblPr>
      <w:tblGrid>
        <w:gridCol w:w="536"/>
        <w:gridCol w:w="1591"/>
        <w:gridCol w:w="1386"/>
        <w:gridCol w:w="1449"/>
      </w:tblGrid>
      <w:tr w:rsidR="00006530" w:rsidRPr="00D641AB" w14:paraId="1FF9E9DB" w14:textId="77777777" w:rsidTr="00D641AB">
        <w:trPr>
          <w:cnfStyle w:val="100000000000" w:firstRow="1" w:lastRow="0" w:firstColumn="0" w:lastColumn="0" w:oddVBand="0" w:evenVBand="0" w:oddHBand="0" w:evenHBand="0" w:firstRowFirstColumn="0" w:firstRowLastColumn="0" w:lastRowFirstColumn="0" w:lastRowLastColumn="0"/>
          <w:trHeight w:val="624"/>
          <w:tblHeader/>
          <w:jc w:val="center"/>
        </w:trPr>
        <w:tc>
          <w:tcPr>
            <w:cnfStyle w:val="001000000000" w:firstRow="0" w:lastRow="0" w:firstColumn="1" w:lastColumn="0" w:oddVBand="0" w:evenVBand="0" w:oddHBand="0" w:evenHBand="0" w:firstRowFirstColumn="0" w:firstRowLastColumn="0" w:lastRowFirstColumn="0" w:lastRowLastColumn="0"/>
            <w:tcW w:w="536" w:type="dxa"/>
            <w:noWrap/>
            <w:vAlign w:val="center"/>
            <w:hideMark/>
          </w:tcPr>
          <w:p w14:paraId="3A0DAE2A" w14:textId="77777777" w:rsidR="00006530" w:rsidRPr="00D641AB" w:rsidRDefault="00006530" w:rsidP="00385846">
            <w:pPr>
              <w:jc w:val="center"/>
              <w:rPr>
                <w:i/>
                <w:sz w:val="20"/>
                <w:szCs w:val="20"/>
              </w:rPr>
            </w:pPr>
          </w:p>
        </w:tc>
        <w:tc>
          <w:tcPr>
            <w:tcW w:w="1591" w:type="dxa"/>
            <w:vAlign w:val="center"/>
            <w:hideMark/>
          </w:tcPr>
          <w:p w14:paraId="39DF54BB" w14:textId="5C7CB1CE" w:rsidR="00006530" w:rsidRPr="00D641AB" w:rsidRDefault="00935E53" w:rsidP="00385846">
            <w:pPr>
              <w:jc w:val="center"/>
              <w:cnfStyle w:val="100000000000" w:firstRow="1" w:lastRow="0" w:firstColumn="0" w:lastColumn="0" w:oddVBand="0" w:evenVBand="0" w:oddHBand="0" w:evenHBand="0" w:firstRowFirstColumn="0" w:firstRowLastColumn="0" w:lastRowFirstColumn="0" w:lastRowLastColumn="0"/>
              <w:rPr>
                <w:i/>
                <w:sz w:val="16"/>
                <w:szCs w:val="16"/>
              </w:rPr>
            </w:pPr>
            <w:r w:rsidRPr="00043DFF">
              <w:rPr>
                <w:i/>
                <w:sz w:val="16"/>
                <w:szCs w:val="16"/>
              </w:rPr>
              <w:t>Total Recaudo Estampilla</w:t>
            </w:r>
          </w:p>
        </w:tc>
        <w:tc>
          <w:tcPr>
            <w:tcW w:w="1386" w:type="dxa"/>
            <w:vAlign w:val="center"/>
            <w:hideMark/>
          </w:tcPr>
          <w:p w14:paraId="47C24ABF" w14:textId="3442A021" w:rsidR="00006530" w:rsidRPr="00D641AB" w:rsidRDefault="00935E53" w:rsidP="00385846">
            <w:pPr>
              <w:jc w:val="center"/>
              <w:cnfStyle w:val="100000000000" w:firstRow="1" w:lastRow="0" w:firstColumn="0" w:lastColumn="0" w:oddVBand="0" w:evenVBand="0" w:oddHBand="0" w:evenHBand="0" w:firstRowFirstColumn="0" w:firstRowLastColumn="0" w:lastRowFirstColumn="0" w:lastRowLastColumn="0"/>
              <w:rPr>
                <w:i/>
                <w:sz w:val="16"/>
                <w:szCs w:val="16"/>
              </w:rPr>
            </w:pPr>
            <w:r w:rsidRPr="00043DFF">
              <w:rPr>
                <w:i/>
                <w:sz w:val="16"/>
                <w:szCs w:val="16"/>
              </w:rPr>
              <w:t>Total Servicio De La Deuda</w:t>
            </w:r>
          </w:p>
        </w:tc>
        <w:tc>
          <w:tcPr>
            <w:tcW w:w="1449" w:type="dxa"/>
            <w:vAlign w:val="center"/>
            <w:hideMark/>
          </w:tcPr>
          <w:p w14:paraId="03BA5FCD" w14:textId="0C4EC99E" w:rsidR="00006530" w:rsidRPr="00D641AB" w:rsidRDefault="00006530" w:rsidP="00385846">
            <w:pPr>
              <w:jc w:val="center"/>
              <w:cnfStyle w:val="100000000000" w:firstRow="1" w:lastRow="0" w:firstColumn="0" w:lastColumn="0" w:oddVBand="0" w:evenVBand="0" w:oddHBand="0" w:evenHBand="0" w:firstRowFirstColumn="0" w:firstRowLastColumn="0" w:lastRowFirstColumn="0" w:lastRowLastColumn="0"/>
              <w:rPr>
                <w:i/>
                <w:sz w:val="16"/>
                <w:szCs w:val="16"/>
              </w:rPr>
            </w:pPr>
            <w:r w:rsidRPr="00D641AB">
              <w:rPr>
                <w:i/>
                <w:sz w:val="16"/>
                <w:szCs w:val="16"/>
              </w:rPr>
              <w:t xml:space="preserve">% </w:t>
            </w:r>
            <w:r w:rsidR="00935E53">
              <w:rPr>
                <w:i/>
                <w:sz w:val="16"/>
                <w:szCs w:val="16"/>
              </w:rPr>
              <w:t>S</w:t>
            </w:r>
            <w:r w:rsidRPr="00D641AB">
              <w:rPr>
                <w:i/>
                <w:sz w:val="16"/>
                <w:szCs w:val="16"/>
              </w:rPr>
              <w:t xml:space="preserve">ervicio </w:t>
            </w:r>
            <w:r w:rsidR="00935E53">
              <w:rPr>
                <w:i/>
                <w:sz w:val="16"/>
                <w:szCs w:val="16"/>
              </w:rPr>
              <w:t>D</w:t>
            </w:r>
            <w:r w:rsidR="00935E53" w:rsidRPr="00D641AB">
              <w:rPr>
                <w:i/>
                <w:sz w:val="16"/>
                <w:szCs w:val="16"/>
              </w:rPr>
              <w:t>euda</w:t>
            </w:r>
            <w:r w:rsidR="00935E53">
              <w:rPr>
                <w:i/>
                <w:sz w:val="16"/>
                <w:szCs w:val="16"/>
              </w:rPr>
              <w:t xml:space="preserve"> </w:t>
            </w:r>
            <w:r w:rsidRPr="00D641AB">
              <w:rPr>
                <w:i/>
                <w:sz w:val="16"/>
                <w:szCs w:val="16"/>
              </w:rPr>
              <w:t>-</w:t>
            </w:r>
            <w:r w:rsidR="00935E53">
              <w:rPr>
                <w:i/>
                <w:sz w:val="16"/>
                <w:szCs w:val="16"/>
              </w:rPr>
              <w:t xml:space="preserve"> </w:t>
            </w:r>
            <w:r w:rsidRPr="00D641AB">
              <w:rPr>
                <w:i/>
                <w:sz w:val="16"/>
                <w:szCs w:val="16"/>
              </w:rPr>
              <w:t>Recaudo Estampilla</w:t>
            </w:r>
          </w:p>
        </w:tc>
      </w:tr>
      <w:tr w:rsidR="00006530" w:rsidRPr="005F0B1B" w14:paraId="6438DA54" w14:textId="77777777" w:rsidTr="00385846">
        <w:trPr>
          <w:cnfStyle w:val="000000100000" w:firstRow="0" w:lastRow="0" w:firstColumn="0" w:lastColumn="0" w:oddVBand="0" w:evenVBand="0" w:oddHBand="1" w:evenHBand="0" w:firstRowFirstColumn="0" w:firstRowLastColumn="0" w:lastRowFirstColumn="0" w:lastRowLastColumn="0"/>
          <w:trHeight w:val="204"/>
          <w:jc w:val="center"/>
        </w:trPr>
        <w:tc>
          <w:tcPr>
            <w:cnfStyle w:val="001000000000" w:firstRow="0" w:lastRow="0" w:firstColumn="1" w:lastColumn="0" w:oddVBand="0" w:evenVBand="0" w:oddHBand="0" w:evenHBand="0" w:firstRowFirstColumn="0" w:firstRowLastColumn="0" w:lastRowFirstColumn="0" w:lastRowLastColumn="0"/>
            <w:tcW w:w="536" w:type="dxa"/>
            <w:noWrap/>
            <w:vAlign w:val="center"/>
            <w:hideMark/>
          </w:tcPr>
          <w:p w14:paraId="518D3ABE" w14:textId="77777777" w:rsidR="00006530" w:rsidRPr="005F0B1B" w:rsidRDefault="00006530" w:rsidP="00385846">
            <w:pPr>
              <w:jc w:val="center"/>
              <w:rPr>
                <w:sz w:val="16"/>
                <w:szCs w:val="16"/>
              </w:rPr>
            </w:pPr>
            <w:r w:rsidRPr="005F0B1B">
              <w:rPr>
                <w:sz w:val="16"/>
                <w:szCs w:val="16"/>
              </w:rPr>
              <w:t>2018</w:t>
            </w:r>
          </w:p>
        </w:tc>
        <w:tc>
          <w:tcPr>
            <w:tcW w:w="1591" w:type="dxa"/>
            <w:noWrap/>
            <w:vAlign w:val="center"/>
            <w:hideMark/>
          </w:tcPr>
          <w:p w14:paraId="3213701A" w14:textId="77777777" w:rsidR="00006530" w:rsidRPr="005F0B1B" w:rsidRDefault="00006530" w:rsidP="00385846">
            <w:pPr>
              <w:jc w:val="center"/>
              <w:cnfStyle w:val="000000100000" w:firstRow="0" w:lastRow="0" w:firstColumn="0" w:lastColumn="0" w:oddVBand="0" w:evenVBand="0" w:oddHBand="1" w:evenHBand="0" w:firstRowFirstColumn="0" w:firstRowLastColumn="0" w:lastRowFirstColumn="0" w:lastRowLastColumn="0"/>
              <w:rPr>
                <w:sz w:val="16"/>
                <w:szCs w:val="16"/>
              </w:rPr>
            </w:pPr>
            <w:r w:rsidRPr="005F0B1B">
              <w:rPr>
                <w:sz w:val="16"/>
                <w:szCs w:val="16"/>
              </w:rPr>
              <w:t>63,507</w:t>
            </w:r>
          </w:p>
        </w:tc>
        <w:tc>
          <w:tcPr>
            <w:tcW w:w="1386" w:type="dxa"/>
            <w:noWrap/>
            <w:vAlign w:val="center"/>
            <w:hideMark/>
          </w:tcPr>
          <w:p w14:paraId="2EC0708F" w14:textId="77777777" w:rsidR="00006530" w:rsidRPr="005F0B1B" w:rsidRDefault="00006530" w:rsidP="00385846">
            <w:pPr>
              <w:jc w:val="center"/>
              <w:cnfStyle w:val="000000100000" w:firstRow="0" w:lastRow="0" w:firstColumn="0" w:lastColumn="0" w:oddVBand="0" w:evenVBand="0" w:oddHBand="1" w:evenHBand="0" w:firstRowFirstColumn="0" w:firstRowLastColumn="0" w:lastRowFirstColumn="0" w:lastRowLastColumn="0"/>
              <w:rPr>
                <w:sz w:val="16"/>
                <w:szCs w:val="16"/>
              </w:rPr>
            </w:pPr>
            <w:r w:rsidRPr="005F0B1B">
              <w:rPr>
                <w:sz w:val="16"/>
                <w:szCs w:val="16"/>
              </w:rPr>
              <w:t>21,471</w:t>
            </w:r>
          </w:p>
        </w:tc>
        <w:tc>
          <w:tcPr>
            <w:tcW w:w="1449" w:type="dxa"/>
            <w:noWrap/>
            <w:vAlign w:val="center"/>
            <w:hideMark/>
          </w:tcPr>
          <w:p w14:paraId="27AAF2FF" w14:textId="77777777" w:rsidR="00006530" w:rsidRPr="005F0B1B" w:rsidRDefault="00006530" w:rsidP="00385846">
            <w:pPr>
              <w:jc w:val="center"/>
              <w:cnfStyle w:val="000000100000" w:firstRow="0" w:lastRow="0" w:firstColumn="0" w:lastColumn="0" w:oddVBand="0" w:evenVBand="0" w:oddHBand="1" w:evenHBand="0" w:firstRowFirstColumn="0" w:firstRowLastColumn="0" w:lastRowFirstColumn="0" w:lastRowLastColumn="0"/>
              <w:rPr>
                <w:sz w:val="16"/>
                <w:szCs w:val="16"/>
              </w:rPr>
            </w:pPr>
            <w:r w:rsidRPr="005F0B1B">
              <w:rPr>
                <w:sz w:val="16"/>
                <w:szCs w:val="16"/>
              </w:rPr>
              <w:t>34%</w:t>
            </w:r>
          </w:p>
        </w:tc>
      </w:tr>
      <w:tr w:rsidR="00006530" w:rsidRPr="005F0B1B" w14:paraId="639B513C" w14:textId="77777777" w:rsidTr="00385846">
        <w:trPr>
          <w:trHeight w:val="204"/>
          <w:jc w:val="center"/>
        </w:trPr>
        <w:tc>
          <w:tcPr>
            <w:cnfStyle w:val="001000000000" w:firstRow="0" w:lastRow="0" w:firstColumn="1" w:lastColumn="0" w:oddVBand="0" w:evenVBand="0" w:oddHBand="0" w:evenHBand="0" w:firstRowFirstColumn="0" w:firstRowLastColumn="0" w:lastRowFirstColumn="0" w:lastRowLastColumn="0"/>
            <w:tcW w:w="536" w:type="dxa"/>
            <w:noWrap/>
            <w:vAlign w:val="center"/>
            <w:hideMark/>
          </w:tcPr>
          <w:p w14:paraId="741CC378" w14:textId="77777777" w:rsidR="00006530" w:rsidRPr="005F0B1B" w:rsidRDefault="00006530" w:rsidP="00385846">
            <w:pPr>
              <w:jc w:val="center"/>
              <w:rPr>
                <w:sz w:val="16"/>
                <w:szCs w:val="16"/>
              </w:rPr>
            </w:pPr>
            <w:r w:rsidRPr="005F0B1B">
              <w:rPr>
                <w:sz w:val="16"/>
                <w:szCs w:val="16"/>
              </w:rPr>
              <w:t>2019</w:t>
            </w:r>
          </w:p>
        </w:tc>
        <w:tc>
          <w:tcPr>
            <w:tcW w:w="1591" w:type="dxa"/>
            <w:noWrap/>
            <w:vAlign w:val="center"/>
            <w:hideMark/>
          </w:tcPr>
          <w:p w14:paraId="0E83D592" w14:textId="77777777" w:rsidR="00006530" w:rsidRPr="005F0B1B" w:rsidRDefault="00006530" w:rsidP="00385846">
            <w:pPr>
              <w:jc w:val="center"/>
              <w:cnfStyle w:val="000000000000" w:firstRow="0" w:lastRow="0" w:firstColumn="0" w:lastColumn="0" w:oddVBand="0" w:evenVBand="0" w:oddHBand="0" w:evenHBand="0" w:firstRowFirstColumn="0" w:firstRowLastColumn="0" w:lastRowFirstColumn="0" w:lastRowLastColumn="0"/>
              <w:rPr>
                <w:sz w:val="16"/>
                <w:szCs w:val="16"/>
              </w:rPr>
            </w:pPr>
            <w:r w:rsidRPr="005F0B1B">
              <w:rPr>
                <w:sz w:val="16"/>
                <w:szCs w:val="16"/>
              </w:rPr>
              <w:t>66,019</w:t>
            </w:r>
          </w:p>
        </w:tc>
        <w:tc>
          <w:tcPr>
            <w:tcW w:w="1386" w:type="dxa"/>
            <w:noWrap/>
            <w:vAlign w:val="center"/>
            <w:hideMark/>
          </w:tcPr>
          <w:p w14:paraId="72A508FE" w14:textId="77777777" w:rsidR="00006530" w:rsidRPr="005F0B1B" w:rsidRDefault="00006530" w:rsidP="00385846">
            <w:pPr>
              <w:jc w:val="center"/>
              <w:cnfStyle w:val="000000000000" w:firstRow="0" w:lastRow="0" w:firstColumn="0" w:lastColumn="0" w:oddVBand="0" w:evenVBand="0" w:oddHBand="0" w:evenHBand="0" w:firstRowFirstColumn="0" w:firstRowLastColumn="0" w:lastRowFirstColumn="0" w:lastRowLastColumn="0"/>
              <w:rPr>
                <w:sz w:val="16"/>
                <w:szCs w:val="16"/>
              </w:rPr>
            </w:pPr>
            <w:r w:rsidRPr="005F0B1B">
              <w:rPr>
                <w:sz w:val="16"/>
                <w:szCs w:val="16"/>
              </w:rPr>
              <w:t>22,994</w:t>
            </w:r>
          </w:p>
        </w:tc>
        <w:tc>
          <w:tcPr>
            <w:tcW w:w="1449" w:type="dxa"/>
            <w:noWrap/>
            <w:vAlign w:val="center"/>
            <w:hideMark/>
          </w:tcPr>
          <w:p w14:paraId="4056F900" w14:textId="77777777" w:rsidR="00006530" w:rsidRPr="005F0B1B" w:rsidRDefault="00006530" w:rsidP="00385846">
            <w:pPr>
              <w:jc w:val="center"/>
              <w:cnfStyle w:val="000000000000" w:firstRow="0" w:lastRow="0" w:firstColumn="0" w:lastColumn="0" w:oddVBand="0" w:evenVBand="0" w:oddHBand="0" w:evenHBand="0" w:firstRowFirstColumn="0" w:firstRowLastColumn="0" w:lastRowFirstColumn="0" w:lastRowLastColumn="0"/>
              <w:rPr>
                <w:sz w:val="16"/>
                <w:szCs w:val="16"/>
              </w:rPr>
            </w:pPr>
            <w:r w:rsidRPr="005F0B1B">
              <w:rPr>
                <w:sz w:val="16"/>
                <w:szCs w:val="16"/>
              </w:rPr>
              <w:t>35%</w:t>
            </w:r>
          </w:p>
        </w:tc>
      </w:tr>
      <w:tr w:rsidR="00006530" w:rsidRPr="005F0B1B" w14:paraId="5BF44A0E" w14:textId="77777777" w:rsidTr="00385846">
        <w:trPr>
          <w:cnfStyle w:val="000000100000" w:firstRow="0" w:lastRow="0" w:firstColumn="0" w:lastColumn="0" w:oddVBand="0" w:evenVBand="0" w:oddHBand="1" w:evenHBand="0" w:firstRowFirstColumn="0" w:firstRowLastColumn="0" w:lastRowFirstColumn="0" w:lastRowLastColumn="0"/>
          <w:trHeight w:val="204"/>
          <w:jc w:val="center"/>
        </w:trPr>
        <w:tc>
          <w:tcPr>
            <w:cnfStyle w:val="001000000000" w:firstRow="0" w:lastRow="0" w:firstColumn="1" w:lastColumn="0" w:oddVBand="0" w:evenVBand="0" w:oddHBand="0" w:evenHBand="0" w:firstRowFirstColumn="0" w:firstRowLastColumn="0" w:lastRowFirstColumn="0" w:lastRowLastColumn="0"/>
            <w:tcW w:w="536" w:type="dxa"/>
            <w:noWrap/>
            <w:vAlign w:val="center"/>
            <w:hideMark/>
          </w:tcPr>
          <w:p w14:paraId="58885BA3" w14:textId="77777777" w:rsidR="00006530" w:rsidRPr="005F0B1B" w:rsidRDefault="00006530" w:rsidP="00385846">
            <w:pPr>
              <w:jc w:val="center"/>
              <w:rPr>
                <w:sz w:val="16"/>
                <w:szCs w:val="16"/>
              </w:rPr>
            </w:pPr>
            <w:r w:rsidRPr="005F0B1B">
              <w:rPr>
                <w:sz w:val="16"/>
                <w:szCs w:val="16"/>
              </w:rPr>
              <w:t>2020</w:t>
            </w:r>
          </w:p>
        </w:tc>
        <w:tc>
          <w:tcPr>
            <w:tcW w:w="1591" w:type="dxa"/>
            <w:noWrap/>
            <w:vAlign w:val="center"/>
            <w:hideMark/>
          </w:tcPr>
          <w:p w14:paraId="02306B30" w14:textId="77777777" w:rsidR="00006530" w:rsidRPr="005F0B1B" w:rsidRDefault="00006530" w:rsidP="00385846">
            <w:pPr>
              <w:jc w:val="center"/>
              <w:cnfStyle w:val="000000100000" w:firstRow="0" w:lastRow="0" w:firstColumn="0" w:lastColumn="0" w:oddVBand="0" w:evenVBand="0" w:oddHBand="1" w:evenHBand="0" w:firstRowFirstColumn="0" w:firstRowLastColumn="0" w:lastRowFirstColumn="0" w:lastRowLastColumn="0"/>
              <w:rPr>
                <w:sz w:val="16"/>
                <w:szCs w:val="16"/>
              </w:rPr>
            </w:pPr>
            <w:r w:rsidRPr="005F0B1B">
              <w:rPr>
                <w:sz w:val="16"/>
                <w:szCs w:val="16"/>
              </w:rPr>
              <w:t>68,631</w:t>
            </w:r>
          </w:p>
        </w:tc>
        <w:tc>
          <w:tcPr>
            <w:tcW w:w="1386" w:type="dxa"/>
            <w:noWrap/>
            <w:vAlign w:val="center"/>
            <w:hideMark/>
          </w:tcPr>
          <w:p w14:paraId="168CC44A" w14:textId="77777777" w:rsidR="00006530" w:rsidRPr="005F0B1B" w:rsidRDefault="00006530" w:rsidP="00385846">
            <w:pPr>
              <w:jc w:val="center"/>
              <w:cnfStyle w:val="000000100000" w:firstRow="0" w:lastRow="0" w:firstColumn="0" w:lastColumn="0" w:oddVBand="0" w:evenVBand="0" w:oddHBand="1" w:evenHBand="0" w:firstRowFirstColumn="0" w:firstRowLastColumn="0" w:lastRowFirstColumn="0" w:lastRowLastColumn="0"/>
              <w:rPr>
                <w:sz w:val="16"/>
                <w:szCs w:val="16"/>
              </w:rPr>
            </w:pPr>
            <w:r w:rsidRPr="005F0B1B">
              <w:rPr>
                <w:sz w:val="16"/>
                <w:szCs w:val="16"/>
              </w:rPr>
              <w:t>27,303</w:t>
            </w:r>
          </w:p>
        </w:tc>
        <w:tc>
          <w:tcPr>
            <w:tcW w:w="1449" w:type="dxa"/>
            <w:noWrap/>
            <w:vAlign w:val="center"/>
            <w:hideMark/>
          </w:tcPr>
          <w:p w14:paraId="31531909" w14:textId="77777777" w:rsidR="00006530" w:rsidRPr="005F0B1B" w:rsidRDefault="00006530" w:rsidP="00385846">
            <w:pPr>
              <w:jc w:val="center"/>
              <w:cnfStyle w:val="000000100000" w:firstRow="0" w:lastRow="0" w:firstColumn="0" w:lastColumn="0" w:oddVBand="0" w:evenVBand="0" w:oddHBand="1" w:evenHBand="0" w:firstRowFirstColumn="0" w:firstRowLastColumn="0" w:lastRowFirstColumn="0" w:lastRowLastColumn="0"/>
              <w:rPr>
                <w:sz w:val="16"/>
                <w:szCs w:val="16"/>
              </w:rPr>
            </w:pPr>
            <w:r w:rsidRPr="005F0B1B">
              <w:rPr>
                <w:sz w:val="16"/>
                <w:szCs w:val="16"/>
              </w:rPr>
              <w:t>40%</w:t>
            </w:r>
          </w:p>
        </w:tc>
      </w:tr>
      <w:tr w:rsidR="00006530" w:rsidRPr="005F0B1B" w14:paraId="5CE7D23C" w14:textId="77777777" w:rsidTr="00385846">
        <w:trPr>
          <w:trHeight w:val="204"/>
          <w:jc w:val="center"/>
        </w:trPr>
        <w:tc>
          <w:tcPr>
            <w:cnfStyle w:val="001000000000" w:firstRow="0" w:lastRow="0" w:firstColumn="1" w:lastColumn="0" w:oddVBand="0" w:evenVBand="0" w:oddHBand="0" w:evenHBand="0" w:firstRowFirstColumn="0" w:firstRowLastColumn="0" w:lastRowFirstColumn="0" w:lastRowLastColumn="0"/>
            <w:tcW w:w="536" w:type="dxa"/>
            <w:noWrap/>
            <w:vAlign w:val="center"/>
            <w:hideMark/>
          </w:tcPr>
          <w:p w14:paraId="45C9E87B" w14:textId="77777777" w:rsidR="00006530" w:rsidRPr="005F0B1B" w:rsidRDefault="00006530" w:rsidP="00385846">
            <w:pPr>
              <w:jc w:val="center"/>
              <w:rPr>
                <w:sz w:val="16"/>
                <w:szCs w:val="16"/>
              </w:rPr>
            </w:pPr>
            <w:r w:rsidRPr="005F0B1B">
              <w:rPr>
                <w:sz w:val="16"/>
                <w:szCs w:val="16"/>
              </w:rPr>
              <w:t>2021</w:t>
            </w:r>
          </w:p>
        </w:tc>
        <w:tc>
          <w:tcPr>
            <w:tcW w:w="1591" w:type="dxa"/>
            <w:noWrap/>
            <w:vAlign w:val="center"/>
            <w:hideMark/>
          </w:tcPr>
          <w:p w14:paraId="6DE89803" w14:textId="77777777" w:rsidR="00006530" w:rsidRPr="005F0B1B" w:rsidRDefault="00006530" w:rsidP="00385846">
            <w:pPr>
              <w:jc w:val="center"/>
              <w:cnfStyle w:val="000000000000" w:firstRow="0" w:lastRow="0" w:firstColumn="0" w:lastColumn="0" w:oddVBand="0" w:evenVBand="0" w:oddHBand="0" w:evenHBand="0" w:firstRowFirstColumn="0" w:firstRowLastColumn="0" w:lastRowFirstColumn="0" w:lastRowLastColumn="0"/>
              <w:rPr>
                <w:sz w:val="16"/>
                <w:szCs w:val="16"/>
              </w:rPr>
            </w:pPr>
            <w:r w:rsidRPr="005F0B1B">
              <w:rPr>
                <w:sz w:val="16"/>
                <w:szCs w:val="16"/>
              </w:rPr>
              <w:t>71,346</w:t>
            </w:r>
          </w:p>
        </w:tc>
        <w:tc>
          <w:tcPr>
            <w:tcW w:w="1386" w:type="dxa"/>
            <w:noWrap/>
            <w:vAlign w:val="center"/>
            <w:hideMark/>
          </w:tcPr>
          <w:p w14:paraId="0F1CA96C" w14:textId="77777777" w:rsidR="00006530" w:rsidRPr="005F0B1B" w:rsidRDefault="00006530" w:rsidP="00385846">
            <w:pPr>
              <w:jc w:val="center"/>
              <w:cnfStyle w:val="000000000000" w:firstRow="0" w:lastRow="0" w:firstColumn="0" w:lastColumn="0" w:oddVBand="0" w:evenVBand="0" w:oddHBand="0" w:evenHBand="0" w:firstRowFirstColumn="0" w:firstRowLastColumn="0" w:lastRowFirstColumn="0" w:lastRowLastColumn="0"/>
              <w:rPr>
                <w:sz w:val="16"/>
                <w:szCs w:val="16"/>
              </w:rPr>
            </w:pPr>
            <w:r w:rsidRPr="005F0B1B">
              <w:rPr>
                <w:sz w:val="16"/>
                <w:szCs w:val="16"/>
              </w:rPr>
              <w:t>43,581</w:t>
            </w:r>
          </w:p>
        </w:tc>
        <w:tc>
          <w:tcPr>
            <w:tcW w:w="1449" w:type="dxa"/>
            <w:noWrap/>
            <w:vAlign w:val="center"/>
            <w:hideMark/>
          </w:tcPr>
          <w:p w14:paraId="599C514D" w14:textId="77777777" w:rsidR="00006530" w:rsidRPr="009A58B6" w:rsidRDefault="00006530" w:rsidP="00385846">
            <w:pPr>
              <w:jc w:val="center"/>
              <w:cnfStyle w:val="000000000000" w:firstRow="0" w:lastRow="0" w:firstColumn="0" w:lastColumn="0" w:oddVBand="0" w:evenVBand="0" w:oddHBand="0" w:evenHBand="0" w:firstRowFirstColumn="0" w:firstRowLastColumn="0" w:lastRowFirstColumn="0" w:lastRowLastColumn="0"/>
              <w:rPr>
                <w:sz w:val="16"/>
                <w:szCs w:val="16"/>
              </w:rPr>
            </w:pPr>
            <w:r w:rsidRPr="009A58B6">
              <w:rPr>
                <w:sz w:val="16"/>
                <w:szCs w:val="16"/>
              </w:rPr>
              <w:t>61%</w:t>
            </w:r>
          </w:p>
        </w:tc>
      </w:tr>
      <w:tr w:rsidR="00006530" w:rsidRPr="005F0B1B" w14:paraId="3A4ADCA9" w14:textId="77777777" w:rsidTr="00385846">
        <w:trPr>
          <w:cnfStyle w:val="000000100000" w:firstRow="0" w:lastRow="0" w:firstColumn="0" w:lastColumn="0" w:oddVBand="0" w:evenVBand="0" w:oddHBand="1" w:evenHBand="0" w:firstRowFirstColumn="0" w:firstRowLastColumn="0" w:lastRowFirstColumn="0" w:lastRowLastColumn="0"/>
          <w:trHeight w:val="204"/>
          <w:jc w:val="center"/>
        </w:trPr>
        <w:tc>
          <w:tcPr>
            <w:cnfStyle w:val="001000000000" w:firstRow="0" w:lastRow="0" w:firstColumn="1" w:lastColumn="0" w:oddVBand="0" w:evenVBand="0" w:oddHBand="0" w:evenHBand="0" w:firstRowFirstColumn="0" w:firstRowLastColumn="0" w:lastRowFirstColumn="0" w:lastRowLastColumn="0"/>
            <w:tcW w:w="536" w:type="dxa"/>
            <w:noWrap/>
            <w:vAlign w:val="center"/>
            <w:hideMark/>
          </w:tcPr>
          <w:p w14:paraId="44792AC7" w14:textId="77777777" w:rsidR="00006530" w:rsidRPr="005F0B1B" w:rsidRDefault="00006530" w:rsidP="00385846">
            <w:pPr>
              <w:jc w:val="center"/>
              <w:rPr>
                <w:sz w:val="16"/>
                <w:szCs w:val="16"/>
              </w:rPr>
            </w:pPr>
            <w:r w:rsidRPr="005F0B1B">
              <w:rPr>
                <w:sz w:val="16"/>
                <w:szCs w:val="16"/>
              </w:rPr>
              <w:t>2022</w:t>
            </w:r>
          </w:p>
        </w:tc>
        <w:tc>
          <w:tcPr>
            <w:tcW w:w="1591" w:type="dxa"/>
            <w:noWrap/>
            <w:vAlign w:val="center"/>
            <w:hideMark/>
          </w:tcPr>
          <w:p w14:paraId="776AEC1B" w14:textId="77777777" w:rsidR="00006530" w:rsidRPr="005F0B1B" w:rsidRDefault="00006530" w:rsidP="00385846">
            <w:pPr>
              <w:jc w:val="center"/>
              <w:cnfStyle w:val="000000100000" w:firstRow="0" w:lastRow="0" w:firstColumn="0" w:lastColumn="0" w:oddVBand="0" w:evenVBand="0" w:oddHBand="1" w:evenHBand="0" w:firstRowFirstColumn="0" w:firstRowLastColumn="0" w:lastRowFirstColumn="0" w:lastRowLastColumn="0"/>
              <w:rPr>
                <w:sz w:val="16"/>
                <w:szCs w:val="16"/>
              </w:rPr>
            </w:pPr>
            <w:r w:rsidRPr="005F0B1B">
              <w:rPr>
                <w:sz w:val="16"/>
                <w:szCs w:val="16"/>
              </w:rPr>
              <w:t>74,169</w:t>
            </w:r>
          </w:p>
        </w:tc>
        <w:tc>
          <w:tcPr>
            <w:tcW w:w="1386" w:type="dxa"/>
            <w:noWrap/>
            <w:vAlign w:val="center"/>
            <w:hideMark/>
          </w:tcPr>
          <w:p w14:paraId="5BF0C384" w14:textId="77777777" w:rsidR="00006530" w:rsidRPr="005F0B1B" w:rsidRDefault="00006530" w:rsidP="00385846">
            <w:pPr>
              <w:jc w:val="center"/>
              <w:cnfStyle w:val="000000100000" w:firstRow="0" w:lastRow="0" w:firstColumn="0" w:lastColumn="0" w:oddVBand="0" w:evenVBand="0" w:oddHBand="1" w:evenHBand="0" w:firstRowFirstColumn="0" w:firstRowLastColumn="0" w:lastRowFirstColumn="0" w:lastRowLastColumn="0"/>
              <w:rPr>
                <w:sz w:val="16"/>
                <w:szCs w:val="16"/>
              </w:rPr>
            </w:pPr>
            <w:r w:rsidRPr="005F0B1B">
              <w:rPr>
                <w:sz w:val="16"/>
                <w:szCs w:val="16"/>
              </w:rPr>
              <w:t>41,531</w:t>
            </w:r>
          </w:p>
        </w:tc>
        <w:tc>
          <w:tcPr>
            <w:tcW w:w="1449" w:type="dxa"/>
            <w:noWrap/>
            <w:vAlign w:val="center"/>
            <w:hideMark/>
          </w:tcPr>
          <w:p w14:paraId="3E897499" w14:textId="77777777" w:rsidR="00006530" w:rsidRPr="009A58B6" w:rsidRDefault="00006530" w:rsidP="00385846">
            <w:pPr>
              <w:jc w:val="center"/>
              <w:cnfStyle w:val="000000100000" w:firstRow="0" w:lastRow="0" w:firstColumn="0" w:lastColumn="0" w:oddVBand="0" w:evenVBand="0" w:oddHBand="1" w:evenHBand="0" w:firstRowFirstColumn="0" w:firstRowLastColumn="0" w:lastRowFirstColumn="0" w:lastRowLastColumn="0"/>
              <w:rPr>
                <w:sz w:val="16"/>
                <w:szCs w:val="16"/>
              </w:rPr>
            </w:pPr>
            <w:r w:rsidRPr="009A58B6">
              <w:rPr>
                <w:sz w:val="16"/>
                <w:szCs w:val="16"/>
              </w:rPr>
              <w:t>56%</w:t>
            </w:r>
          </w:p>
        </w:tc>
      </w:tr>
      <w:tr w:rsidR="00006530" w:rsidRPr="005F0B1B" w14:paraId="1251BB6C" w14:textId="77777777" w:rsidTr="00385846">
        <w:trPr>
          <w:trHeight w:val="204"/>
          <w:jc w:val="center"/>
        </w:trPr>
        <w:tc>
          <w:tcPr>
            <w:cnfStyle w:val="001000000000" w:firstRow="0" w:lastRow="0" w:firstColumn="1" w:lastColumn="0" w:oddVBand="0" w:evenVBand="0" w:oddHBand="0" w:evenHBand="0" w:firstRowFirstColumn="0" w:firstRowLastColumn="0" w:lastRowFirstColumn="0" w:lastRowLastColumn="0"/>
            <w:tcW w:w="536" w:type="dxa"/>
            <w:noWrap/>
            <w:vAlign w:val="center"/>
            <w:hideMark/>
          </w:tcPr>
          <w:p w14:paraId="65001962" w14:textId="77777777" w:rsidR="00006530" w:rsidRPr="005F0B1B" w:rsidRDefault="00006530" w:rsidP="00385846">
            <w:pPr>
              <w:jc w:val="center"/>
              <w:rPr>
                <w:sz w:val="16"/>
                <w:szCs w:val="16"/>
              </w:rPr>
            </w:pPr>
            <w:r w:rsidRPr="005F0B1B">
              <w:rPr>
                <w:sz w:val="16"/>
                <w:szCs w:val="16"/>
              </w:rPr>
              <w:t>2023</w:t>
            </w:r>
          </w:p>
        </w:tc>
        <w:tc>
          <w:tcPr>
            <w:tcW w:w="1591" w:type="dxa"/>
            <w:noWrap/>
            <w:vAlign w:val="center"/>
            <w:hideMark/>
          </w:tcPr>
          <w:p w14:paraId="4FDAA436" w14:textId="77777777" w:rsidR="00006530" w:rsidRPr="005F0B1B" w:rsidRDefault="00006530" w:rsidP="00385846">
            <w:pPr>
              <w:jc w:val="center"/>
              <w:cnfStyle w:val="000000000000" w:firstRow="0" w:lastRow="0" w:firstColumn="0" w:lastColumn="0" w:oddVBand="0" w:evenVBand="0" w:oddHBand="0" w:evenHBand="0" w:firstRowFirstColumn="0" w:firstRowLastColumn="0" w:lastRowFirstColumn="0" w:lastRowLastColumn="0"/>
              <w:rPr>
                <w:sz w:val="16"/>
                <w:szCs w:val="16"/>
              </w:rPr>
            </w:pPr>
            <w:r w:rsidRPr="005F0B1B">
              <w:rPr>
                <w:sz w:val="16"/>
                <w:szCs w:val="16"/>
              </w:rPr>
              <w:t>77,104</w:t>
            </w:r>
          </w:p>
        </w:tc>
        <w:tc>
          <w:tcPr>
            <w:tcW w:w="1386" w:type="dxa"/>
            <w:noWrap/>
            <w:vAlign w:val="center"/>
            <w:hideMark/>
          </w:tcPr>
          <w:p w14:paraId="11DA7CC5" w14:textId="77777777" w:rsidR="00006530" w:rsidRPr="005F0B1B" w:rsidRDefault="00006530" w:rsidP="00385846">
            <w:pPr>
              <w:jc w:val="center"/>
              <w:cnfStyle w:val="000000000000" w:firstRow="0" w:lastRow="0" w:firstColumn="0" w:lastColumn="0" w:oddVBand="0" w:evenVBand="0" w:oddHBand="0" w:evenHBand="0" w:firstRowFirstColumn="0" w:firstRowLastColumn="0" w:lastRowFirstColumn="0" w:lastRowLastColumn="0"/>
              <w:rPr>
                <w:sz w:val="16"/>
                <w:szCs w:val="16"/>
              </w:rPr>
            </w:pPr>
            <w:r w:rsidRPr="005F0B1B">
              <w:rPr>
                <w:sz w:val="16"/>
                <w:szCs w:val="16"/>
              </w:rPr>
              <w:t>34,383</w:t>
            </w:r>
          </w:p>
        </w:tc>
        <w:tc>
          <w:tcPr>
            <w:tcW w:w="1449" w:type="dxa"/>
            <w:noWrap/>
            <w:vAlign w:val="center"/>
            <w:hideMark/>
          </w:tcPr>
          <w:p w14:paraId="05F13A2E" w14:textId="77777777" w:rsidR="00006530" w:rsidRPr="005F0B1B" w:rsidRDefault="00006530" w:rsidP="00385846">
            <w:pPr>
              <w:jc w:val="center"/>
              <w:cnfStyle w:val="000000000000" w:firstRow="0" w:lastRow="0" w:firstColumn="0" w:lastColumn="0" w:oddVBand="0" w:evenVBand="0" w:oddHBand="0" w:evenHBand="0" w:firstRowFirstColumn="0" w:firstRowLastColumn="0" w:lastRowFirstColumn="0" w:lastRowLastColumn="0"/>
              <w:rPr>
                <w:sz w:val="16"/>
                <w:szCs w:val="16"/>
              </w:rPr>
            </w:pPr>
            <w:r w:rsidRPr="005F0B1B">
              <w:rPr>
                <w:sz w:val="16"/>
                <w:szCs w:val="16"/>
              </w:rPr>
              <w:t>45%</w:t>
            </w:r>
          </w:p>
        </w:tc>
      </w:tr>
      <w:tr w:rsidR="00006530" w:rsidRPr="005F0B1B" w14:paraId="34779FBE" w14:textId="77777777" w:rsidTr="00385846">
        <w:trPr>
          <w:cnfStyle w:val="000000100000" w:firstRow="0" w:lastRow="0" w:firstColumn="0" w:lastColumn="0" w:oddVBand="0" w:evenVBand="0" w:oddHBand="1" w:evenHBand="0" w:firstRowFirstColumn="0" w:firstRowLastColumn="0" w:lastRowFirstColumn="0" w:lastRowLastColumn="0"/>
          <w:trHeight w:val="204"/>
          <w:jc w:val="center"/>
        </w:trPr>
        <w:tc>
          <w:tcPr>
            <w:cnfStyle w:val="001000000000" w:firstRow="0" w:lastRow="0" w:firstColumn="1" w:lastColumn="0" w:oddVBand="0" w:evenVBand="0" w:oddHBand="0" w:evenHBand="0" w:firstRowFirstColumn="0" w:firstRowLastColumn="0" w:lastRowFirstColumn="0" w:lastRowLastColumn="0"/>
            <w:tcW w:w="536" w:type="dxa"/>
            <w:noWrap/>
            <w:vAlign w:val="center"/>
            <w:hideMark/>
          </w:tcPr>
          <w:p w14:paraId="648FE75D" w14:textId="77777777" w:rsidR="00006530" w:rsidRPr="005F0B1B" w:rsidRDefault="00006530" w:rsidP="00385846">
            <w:pPr>
              <w:jc w:val="center"/>
              <w:rPr>
                <w:sz w:val="16"/>
                <w:szCs w:val="16"/>
              </w:rPr>
            </w:pPr>
            <w:r w:rsidRPr="005F0B1B">
              <w:rPr>
                <w:sz w:val="16"/>
                <w:szCs w:val="16"/>
              </w:rPr>
              <w:t>2024</w:t>
            </w:r>
          </w:p>
        </w:tc>
        <w:tc>
          <w:tcPr>
            <w:tcW w:w="1591" w:type="dxa"/>
            <w:noWrap/>
            <w:vAlign w:val="center"/>
            <w:hideMark/>
          </w:tcPr>
          <w:p w14:paraId="7FABBF69" w14:textId="77777777" w:rsidR="00006530" w:rsidRPr="005F0B1B" w:rsidRDefault="00006530" w:rsidP="00385846">
            <w:pPr>
              <w:jc w:val="center"/>
              <w:cnfStyle w:val="000000100000" w:firstRow="0" w:lastRow="0" w:firstColumn="0" w:lastColumn="0" w:oddVBand="0" w:evenVBand="0" w:oddHBand="1" w:evenHBand="0" w:firstRowFirstColumn="0" w:firstRowLastColumn="0" w:lastRowFirstColumn="0" w:lastRowLastColumn="0"/>
              <w:rPr>
                <w:sz w:val="16"/>
                <w:szCs w:val="16"/>
              </w:rPr>
            </w:pPr>
            <w:r w:rsidRPr="005F0B1B">
              <w:rPr>
                <w:sz w:val="16"/>
                <w:szCs w:val="16"/>
              </w:rPr>
              <w:t>80,155</w:t>
            </w:r>
          </w:p>
        </w:tc>
        <w:tc>
          <w:tcPr>
            <w:tcW w:w="1386" w:type="dxa"/>
            <w:noWrap/>
            <w:vAlign w:val="center"/>
            <w:hideMark/>
          </w:tcPr>
          <w:p w14:paraId="7ADB1D2C" w14:textId="77777777" w:rsidR="00006530" w:rsidRPr="005F0B1B" w:rsidRDefault="00006530" w:rsidP="00385846">
            <w:pPr>
              <w:jc w:val="center"/>
              <w:cnfStyle w:val="000000100000" w:firstRow="0" w:lastRow="0" w:firstColumn="0" w:lastColumn="0" w:oddVBand="0" w:evenVBand="0" w:oddHBand="1" w:evenHBand="0" w:firstRowFirstColumn="0" w:firstRowLastColumn="0" w:lastRowFirstColumn="0" w:lastRowLastColumn="0"/>
              <w:rPr>
                <w:sz w:val="16"/>
                <w:szCs w:val="16"/>
              </w:rPr>
            </w:pPr>
            <w:r w:rsidRPr="005F0B1B">
              <w:rPr>
                <w:sz w:val="16"/>
                <w:szCs w:val="16"/>
              </w:rPr>
              <w:t>32,796</w:t>
            </w:r>
          </w:p>
        </w:tc>
        <w:tc>
          <w:tcPr>
            <w:tcW w:w="1449" w:type="dxa"/>
            <w:noWrap/>
            <w:vAlign w:val="center"/>
            <w:hideMark/>
          </w:tcPr>
          <w:p w14:paraId="42FB0EE8" w14:textId="77777777" w:rsidR="00006530" w:rsidRPr="005F0B1B" w:rsidRDefault="00006530" w:rsidP="00385846">
            <w:pPr>
              <w:jc w:val="center"/>
              <w:cnfStyle w:val="000000100000" w:firstRow="0" w:lastRow="0" w:firstColumn="0" w:lastColumn="0" w:oddVBand="0" w:evenVBand="0" w:oddHBand="1" w:evenHBand="0" w:firstRowFirstColumn="0" w:firstRowLastColumn="0" w:lastRowFirstColumn="0" w:lastRowLastColumn="0"/>
              <w:rPr>
                <w:sz w:val="16"/>
                <w:szCs w:val="16"/>
              </w:rPr>
            </w:pPr>
            <w:r w:rsidRPr="005F0B1B">
              <w:rPr>
                <w:sz w:val="16"/>
                <w:szCs w:val="16"/>
              </w:rPr>
              <w:t>41%</w:t>
            </w:r>
          </w:p>
        </w:tc>
      </w:tr>
      <w:tr w:rsidR="00006530" w:rsidRPr="005F0B1B" w14:paraId="2625CD0B" w14:textId="77777777" w:rsidTr="00385846">
        <w:trPr>
          <w:trHeight w:val="204"/>
          <w:jc w:val="center"/>
        </w:trPr>
        <w:tc>
          <w:tcPr>
            <w:cnfStyle w:val="001000000000" w:firstRow="0" w:lastRow="0" w:firstColumn="1" w:lastColumn="0" w:oddVBand="0" w:evenVBand="0" w:oddHBand="0" w:evenHBand="0" w:firstRowFirstColumn="0" w:firstRowLastColumn="0" w:lastRowFirstColumn="0" w:lastRowLastColumn="0"/>
            <w:tcW w:w="536" w:type="dxa"/>
            <w:noWrap/>
            <w:vAlign w:val="center"/>
            <w:hideMark/>
          </w:tcPr>
          <w:p w14:paraId="6C37FE1C" w14:textId="77777777" w:rsidR="00006530" w:rsidRPr="005F0B1B" w:rsidRDefault="00006530" w:rsidP="00385846">
            <w:pPr>
              <w:jc w:val="center"/>
              <w:rPr>
                <w:sz w:val="16"/>
                <w:szCs w:val="16"/>
              </w:rPr>
            </w:pPr>
            <w:r w:rsidRPr="005F0B1B">
              <w:rPr>
                <w:sz w:val="16"/>
                <w:szCs w:val="16"/>
              </w:rPr>
              <w:t>2025</w:t>
            </w:r>
          </w:p>
        </w:tc>
        <w:tc>
          <w:tcPr>
            <w:tcW w:w="1591" w:type="dxa"/>
            <w:noWrap/>
            <w:vAlign w:val="center"/>
            <w:hideMark/>
          </w:tcPr>
          <w:p w14:paraId="3B1C59F4" w14:textId="77777777" w:rsidR="00006530" w:rsidRPr="005F0B1B" w:rsidRDefault="00006530" w:rsidP="00385846">
            <w:pPr>
              <w:jc w:val="center"/>
              <w:cnfStyle w:val="000000000000" w:firstRow="0" w:lastRow="0" w:firstColumn="0" w:lastColumn="0" w:oddVBand="0" w:evenVBand="0" w:oddHBand="0" w:evenHBand="0" w:firstRowFirstColumn="0" w:firstRowLastColumn="0" w:lastRowFirstColumn="0" w:lastRowLastColumn="0"/>
              <w:rPr>
                <w:sz w:val="16"/>
                <w:szCs w:val="16"/>
              </w:rPr>
            </w:pPr>
            <w:r w:rsidRPr="005F0B1B">
              <w:rPr>
                <w:sz w:val="16"/>
                <w:szCs w:val="16"/>
              </w:rPr>
              <w:t>83,327</w:t>
            </w:r>
          </w:p>
        </w:tc>
        <w:tc>
          <w:tcPr>
            <w:tcW w:w="1386" w:type="dxa"/>
            <w:noWrap/>
            <w:vAlign w:val="center"/>
            <w:hideMark/>
          </w:tcPr>
          <w:p w14:paraId="49B3C121" w14:textId="77777777" w:rsidR="00006530" w:rsidRPr="005F0B1B" w:rsidRDefault="00006530" w:rsidP="00385846">
            <w:pPr>
              <w:jc w:val="center"/>
              <w:cnfStyle w:val="000000000000" w:firstRow="0" w:lastRow="0" w:firstColumn="0" w:lastColumn="0" w:oddVBand="0" w:evenVBand="0" w:oddHBand="0" w:evenHBand="0" w:firstRowFirstColumn="0" w:firstRowLastColumn="0" w:lastRowFirstColumn="0" w:lastRowLastColumn="0"/>
              <w:rPr>
                <w:sz w:val="16"/>
                <w:szCs w:val="16"/>
              </w:rPr>
            </w:pPr>
            <w:r w:rsidRPr="005F0B1B">
              <w:rPr>
                <w:sz w:val="16"/>
                <w:szCs w:val="16"/>
              </w:rPr>
              <w:t>31,198</w:t>
            </w:r>
          </w:p>
        </w:tc>
        <w:tc>
          <w:tcPr>
            <w:tcW w:w="1449" w:type="dxa"/>
            <w:noWrap/>
            <w:vAlign w:val="center"/>
            <w:hideMark/>
          </w:tcPr>
          <w:p w14:paraId="1004E083" w14:textId="77777777" w:rsidR="00006530" w:rsidRPr="005F0B1B" w:rsidRDefault="00006530" w:rsidP="00385846">
            <w:pPr>
              <w:jc w:val="center"/>
              <w:cnfStyle w:val="000000000000" w:firstRow="0" w:lastRow="0" w:firstColumn="0" w:lastColumn="0" w:oddVBand="0" w:evenVBand="0" w:oddHBand="0" w:evenHBand="0" w:firstRowFirstColumn="0" w:firstRowLastColumn="0" w:lastRowFirstColumn="0" w:lastRowLastColumn="0"/>
              <w:rPr>
                <w:sz w:val="16"/>
                <w:szCs w:val="16"/>
              </w:rPr>
            </w:pPr>
            <w:r w:rsidRPr="005F0B1B">
              <w:rPr>
                <w:sz w:val="16"/>
                <w:szCs w:val="16"/>
              </w:rPr>
              <w:t>37%</w:t>
            </w:r>
          </w:p>
        </w:tc>
      </w:tr>
      <w:tr w:rsidR="00006530" w:rsidRPr="005F0B1B" w14:paraId="419EB3CE" w14:textId="77777777" w:rsidTr="00385846">
        <w:trPr>
          <w:cnfStyle w:val="000000100000" w:firstRow="0" w:lastRow="0" w:firstColumn="0" w:lastColumn="0" w:oddVBand="0" w:evenVBand="0" w:oddHBand="1" w:evenHBand="0" w:firstRowFirstColumn="0" w:firstRowLastColumn="0" w:lastRowFirstColumn="0" w:lastRowLastColumn="0"/>
          <w:trHeight w:val="204"/>
          <w:jc w:val="center"/>
        </w:trPr>
        <w:tc>
          <w:tcPr>
            <w:cnfStyle w:val="001000000000" w:firstRow="0" w:lastRow="0" w:firstColumn="1" w:lastColumn="0" w:oddVBand="0" w:evenVBand="0" w:oddHBand="0" w:evenHBand="0" w:firstRowFirstColumn="0" w:firstRowLastColumn="0" w:lastRowFirstColumn="0" w:lastRowLastColumn="0"/>
            <w:tcW w:w="536" w:type="dxa"/>
            <w:noWrap/>
            <w:vAlign w:val="center"/>
            <w:hideMark/>
          </w:tcPr>
          <w:p w14:paraId="1337F577" w14:textId="77777777" w:rsidR="00006530" w:rsidRPr="005F0B1B" w:rsidRDefault="00006530" w:rsidP="00385846">
            <w:pPr>
              <w:jc w:val="center"/>
              <w:rPr>
                <w:sz w:val="16"/>
                <w:szCs w:val="16"/>
              </w:rPr>
            </w:pPr>
            <w:r w:rsidRPr="005F0B1B">
              <w:rPr>
                <w:sz w:val="16"/>
                <w:szCs w:val="16"/>
              </w:rPr>
              <w:t>2026</w:t>
            </w:r>
          </w:p>
        </w:tc>
        <w:tc>
          <w:tcPr>
            <w:tcW w:w="1591" w:type="dxa"/>
            <w:noWrap/>
            <w:vAlign w:val="center"/>
            <w:hideMark/>
          </w:tcPr>
          <w:p w14:paraId="64D0A13B" w14:textId="77777777" w:rsidR="00006530" w:rsidRPr="005F0B1B" w:rsidRDefault="00006530" w:rsidP="00385846">
            <w:pPr>
              <w:jc w:val="center"/>
              <w:cnfStyle w:val="000000100000" w:firstRow="0" w:lastRow="0" w:firstColumn="0" w:lastColumn="0" w:oddVBand="0" w:evenVBand="0" w:oddHBand="1" w:evenHBand="0" w:firstRowFirstColumn="0" w:firstRowLastColumn="0" w:lastRowFirstColumn="0" w:lastRowLastColumn="0"/>
              <w:rPr>
                <w:sz w:val="16"/>
                <w:szCs w:val="16"/>
              </w:rPr>
            </w:pPr>
            <w:r w:rsidRPr="005F0B1B">
              <w:rPr>
                <w:sz w:val="16"/>
                <w:szCs w:val="16"/>
              </w:rPr>
              <w:t>86,625</w:t>
            </w:r>
          </w:p>
        </w:tc>
        <w:tc>
          <w:tcPr>
            <w:tcW w:w="1386" w:type="dxa"/>
            <w:noWrap/>
            <w:vAlign w:val="center"/>
            <w:hideMark/>
          </w:tcPr>
          <w:p w14:paraId="32C64DD2" w14:textId="77777777" w:rsidR="00006530" w:rsidRPr="005F0B1B" w:rsidRDefault="00006530" w:rsidP="00385846">
            <w:pPr>
              <w:jc w:val="center"/>
              <w:cnfStyle w:val="000000100000" w:firstRow="0" w:lastRow="0" w:firstColumn="0" w:lastColumn="0" w:oddVBand="0" w:evenVBand="0" w:oddHBand="1" w:evenHBand="0" w:firstRowFirstColumn="0" w:firstRowLastColumn="0" w:lastRowFirstColumn="0" w:lastRowLastColumn="0"/>
              <w:rPr>
                <w:sz w:val="16"/>
                <w:szCs w:val="16"/>
              </w:rPr>
            </w:pPr>
            <w:r w:rsidRPr="005F0B1B">
              <w:rPr>
                <w:sz w:val="16"/>
                <w:szCs w:val="16"/>
              </w:rPr>
              <w:t>28,067</w:t>
            </w:r>
          </w:p>
        </w:tc>
        <w:tc>
          <w:tcPr>
            <w:tcW w:w="1449" w:type="dxa"/>
            <w:noWrap/>
            <w:vAlign w:val="center"/>
            <w:hideMark/>
          </w:tcPr>
          <w:p w14:paraId="7CA42EA7" w14:textId="77777777" w:rsidR="00006530" w:rsidRPr="005F0B1B" w:rsidRDefault="00006530" w:rsidP="00385846">
            <w:pPr>
              <w:jc w:val="center"/>
              <w:cnfStyle w:val="000000100000" w:firstRow="0" w:lastRow="0" w:firstColumn="0" w:lastColumn="0" w:oddVBand="0" w:evenVBand="0" w:oddHBand="1" w:evenHBand="0" w:firstRowFirstColumn="0" w:firstRowLastColumn="0" w:lastRowFirstColumn="0" w:lastRowLastColumn="0"/>
              <w:rPr>
                <w:sz w:val="16"/>
                <w:szCs w:val="16"/>
              </w:rPr>
            </w:pPr>
            <w:r w:rsidRPr="005F0B1B">
              <w:rPr>
                <w:sz w:val="16"/>
                <w:szCs w:val="16"/>
              </w:rPr>
              <w:t>32%</w:t>
            </w:r>
          </w:p>
        </w:tc>
      </w:tr>
      <w:tr w:rsidR="00006530" w:rsidRPr="005F0B1B" w14:paraId="05AA89B0" w14:textId="77777777" w:rsidTr="00385846">
        <w:trPr>
          <w:trHeight w:val="204"/>
          <w:jc w:val="center"/>
        </w:trPr>
        <w:tc>
          <w:tcPr>
            <w:cnfStyle w:val="001000000000" w:firstRow="0" w:lastRow="0" w:firstColumn="1" w:lastColumn="0" w:oddVBand="0" w:evenVBand="0" w:oddHBand="0" w:evenHBand="0" w:firstRowFirstColumn="0" w:firstRowLastColumn="0" w:lastRowFirstColumn="0" w:lastRowLastColumn="0"/>
            <w:tcW w:w="536" w:type="dxa"/>
            <w:noWrap/>
            <w:vAlign w:val="center"/>
            <w:hideMark/>
          </w:tcPr>
          <w:p w14:paraId="0064B87C" w14:textId="77777777" w:rsidR="00006530" w:rsidRPr="005F0B1B" w:rsidRDefault="00006530" w:rsidP="00385846">
            <w:pPr>
              <w:jc w:val="center"/>
              <w:rPr>
                <w:sz w:val="16"/>
                <w:szCs w:val="16"/>
              </w:rPr>
            </w:pPr>
            <w:r w:rsidRPr="005F0B1B">
              <w:rPr>
                <w:sz w:val="16"/>
                <w:szCs w:val="16"/>
              </w:rPr>
              <w:t>2027</w:t>
            </w:r>
          </w:p>
        </w:tc>
        <w:tc>
          <w:tcPr>
            <w:tcW w:w="1591" w:type="dxa"/>
            <w:noWrap/>
            <w:vAlign w:val="center"/>
            <w:hideMark/>
          </w:tcPr>
          <w:p w14:paraId="33062DF0" w14:textId="77777777" w:rsidR="00006530" w:rsidRPr="005F0B1B" w:rsidRDefault="00006530" w:rsidP="00385846">
            <w:pPr>
              <w:jc w:val="center"/>
              <w:cnfStyle w:val="000000000000" w:firstRow="0" w:lastRow="0" w:firstColumn="0" w:lastColumn="0" w:oddVBand="0" w:evenVBand="0" w:oddHBand="0" w:evenHBand="0" w:firstRowFirstColumn="0" w:firstRowLastColumn="0" w:lastRowFirstColumn="0" w:lastRowLastColumn="0"/>
              <w:rPr>
                <w:sz w:val="16"/>
                <w:szCs w:val="16"/>
              </w:rPr>
            </w:pPr>
            <w:r w:rsidRPr="005F0B1B">
              <w:rPr>
                <w:sz w:val="16"/>
                <w:szCs w:val="16"/>
              </w:rPr>
              <w:t>90,055</w:t>
            </w:r>
          </w:p>
        </w:tc>
        <w:tc>
          <w:tcPr>
            <w:tcW w:w="1386" w:type="dxa"/>
            <w:noWrap/>
            <w:vAlign w:val="center"/>
            <w:hideMark/>
          </w:tcPr>
          <w:p w14:paraId="0F1D0F35" w14:textId="77777777" w:rsidR="00006530" w:rsidRPr="005F0B1B" w:rsidRDefault="00006530" w:rsidP="00385846">
            <w:pPr>
              <w:jc w:val="center"/>
              <w:cnfStyle w:val="000000000000" w:firstRow="0" w:lastRow="0" w:firstColumn="0" w:lastColumn="0" w:oddVBand="0" w:evenVBand="0" w:oddHBand="0" w:evenHBand="0" w:firstRowFirstColumn="0" w:firstRowLastColumn="0" w:lastRowFirstColumn="0" w:lastRowLastColumn="0"/>
              <w:rPr>
                <w:sz w:val="16"/>
                <w:szCs w:val="16"/>
              </w:rPr>
            </w:pPr>
            <w:r w:rsidRPr="005F0B1B">
              <w:rPr>
                <w:sz w:val="16"/>
                <w:szCs w:val="16"/>
              </w:rPr>
              <w:t>25,172</w:t>
            </w:r>
          </w:p>
        </w:tc>
        <w:tc>
          <w:tcPr>
            <w:tcW w:w="1449" w:type="dxa"/>
            <w:noWrap/>
            <w:vAlign w:val="center"/>
            <w:hideMark/>
          </w:tcPr>
          <w:p w14:paraId="68DD1CE6" w14:textId="77777777" w:rsidR="00006530" w:rsidRPr="005F0B1B" w:rsidRDefault="00006530" w:rsidP="00385846">
            <w:pPr>
              <w:jc w:val="center"/>
              <w:cnfStyle w:val="000000000000" w:firstRow="0" w:lastRow="0" w:firstColumn="0" w:lastColumn="0" w:oddVBand="0" w:evenVBand="0" w:oddHBand="0" w:evenHBand="0" w:firstRowFirstColumn="0" w:firstRowLastColumn="0" w:lastRowFirstColumn="0" w:lastRowLastColumn="0"/>
              <w:rPr>
                <w:sz w:val="16"/>
                <w:szCs w:val="16"/>
              </w:rPr>
            </w:pPr>
            <w:r w:rsidRPr="005F0B1B">
              <w:rPr>
                <w:sz w:val="16"/>
                <w:szCs w:val="16"/>
              </w:rPr>
              <w:t>28%</w:t>
            </w:r>
          </w:p>
        </w:tc>
      </w:tr>
      <w:tr w:rsidR="00006530" w:rsidRPr="005F0B1B" w14:paraId="7FB77E0D" w14:textId="77777777" w:rsidTr="00385846">
        <w:trPr>
          <w:cnfStyle w:val="000000100000" w:firstRow="0" w:lastRow="0" w:firstColumn="0" w:lastColumn="0" w:oddVBand="0" w:evenVBand="0" w:oddHBand="1" w:evenHBand="0" w:firstRowFirstColumn="0" w:firstRowLastColumn="0" w:lastRowFirstColumn="0" w:lastRowLastColumn="0"/>
          <w:trHeight w:val="204"/>
          <w:jc w:val="center"/>
        </w:trPr>
        <w:tc>
          <w:tcPr>
            <w:cnfStyle w:val="001000000000" w:firstRow="0" w:lastRow="0" w:firstColumn="1" w:lastColumn="0" w:oddVBand="0" w:evenVBand="0" w:oddHBand="0" w:evenHBand="0" w:firstRowFirstColumn="0" w:firstRowLastColumn="0" w:lastRowFirstColumn="0" w:lastRowLastColumn="0"/>
            <w:tcW w:w="536" w:type="dxa"/>
            <w:noWrap/>
            <w:vAlign w:val="center"/>
            <w:hideMark/>
          </w:tcPr>
          <w:p w14:paraId="7A70C827" w14:textId="77777777" w:rsidR="00006530" w:rsidRPr="005F0B1B" w:rsidRDefault="00006530" w:rsidP="00385846">
            <w:pPr>
              <w:jc w:val="center"/>
              <w:rPr>
                <w:sz w:val="16"/>
                <w:szCs w:val="16"/>
              </w:rPr>
            </w:pPr>
            <w:r w:rsidRPr="005F0B1B">
              <w:rPr>
                <w:sz w:val="16"/>
                <w:szCs w:val="16"/>
              </w:rPr>
              <w:t>2028</w:t>
            </w:r>
          </w:p>
        </w:tc>
        <w:tc>
          <w:tcPr>
            <w:tcW w:w="1591" w:type="dxa"/>
            <w:noWrap/>
            <w:vAlign w:val="center"/>
            <w:hideMark/>
          </w:tcPr>
          <w:p w14:paraId="53BB683E" w14:textId="77777777" w:rsidR="00006530" w:rsidRPr="005F0B1B" w:rsidRDefault="00006530" w:rsidP="00385846">
            <w:pPr>
              <w:jc w:val="center"/>
              <w:cnfStyle w:val="000000100000" w:firstRow="0" w:lastRow="0" w:firstColumn="0" w:lastColumn="0" w:oddVBand="0" w:evenVBand="0" w:oddHBand="1" w:evenHBand="0" w:firstRowFirstColumn="0" w:firstRowLastColumn="0" w:lastRowFirstColumn="0" w:lastRowLastColumn="0"/>
              <w:rPr>
                <w:sz w:val="16"/>
                <w:szCs w:val="16"/>
              </w:rPr>
            </w:pPr>
            <w:r w:rsidRPr="005F0B1B">
              <w:rPr>
                <w:sz w:val="16"/>
                <w:szCs w:val="16"/>
              </w:rPr>
              <w:t>93,620</w:t>
            </w:r>
          </w:p>
        </w:tc>
        <w:tc>
          <w:tcPr>
            <w:tcW w:w="1386" w:type="dxa"/>
            <w:noWrap/>
            <w:vAlign w:val="center"/>
            <w:hideMark/>
          </w:tcPr>
          <w:p w14:paraId="579AF7E6" w14:textId="77777777" w:rsidR="00006530" w:rsidRPr="005F0B1B" w:rsidRDefault="00006530" w:rsidP="00385846">
            <w:pPr>
              <w:jc w:val="center"/>
              <w:cnfStyle w:val="000000100000" w:firstRow="0" w:lastRow="0" w:firstColumn="0" w:lastColumn="0" w:oddVBand="0" w:evenVBand="0" w:oddHBand="1" w:evenHBand="0" w:firstRowFirstColumn="0" w:firstRowLastColumn="0" w:lastRowFirstColumn="0" w:lastRowLastColumn="0"/>
              <w:rPr>
                <w:sz w:val="16"/>
                <w:szCs w:val="16"/>
              </w:rPr>
            </w:pPr>
            <w:r w:rsidRPr="005F0B1B">
              <w:rPr>
                <w:sz w:val="16"/>
                <w:szCs w:val="16"/>
              </w:rPr>
              <w:t>23,804</w:t>
            </w:r>
          </w:p>
        </w:tc>
        <w:tc>
          <w:tcPr>
            <w:tcW w:w="1449" w:type="dxa"/>
            <w:noWrap/>
            <w:vAlign w:val="center"/>
            <w:hideMark/>
          </w:tcPr>
          <w:p w14:paraId="6F25298A" w14:textId="77777777" w:rsidR="00006530" w:rsidRPr="005F0B1B" w:rsidRDefault="00006530" w:rsidP="00385846">
            <w:pPr>
              <w:jc w:val="center"/>
              <w:cnfStyle w:val="000000100000" w:firstRow="0" w:lastRow="0" w:firstColumn="0" w:lastColumn="0" w:oddVBand="0" w:evenVBand="0" w:oddHBand="1" w:evenHBand="0" w:firstRowFirstColumn="0" w:firstRowLastColumn="0" w:lastRowFirstColumn="0" w:lastRowLastColumn="0"/>
              <w:rPr>
                <w:sz w:val="16"/>
                <w:szCs w:val="16"/>
              </w:rPr>
            </w:pPr>
            <w:r w:rsidRPr="005F0B1B">
              <w:rPr>
                <w:sz w:val="16"/>
                <w:szCs w:val="16"/>
              </w:rPr>
              <w:t>25%</w:t>
            </w:r>
          </w:p>
        </w:tc>
      </w:tr>
      <w:tr w:rsidR="00006530" w:rsidRPr="005F0B1B" w14:paraId="1D7171D7" w14:textId="77777777" w:rsidTr="00385846">
        <w:trPr>
          <w:trHeight w:val="204"/>
          <w:jc w:val="center"/>
        </w:trPr>
        <w:tc>
          <w:tcPr>
            <w:cnfStyle w:val="001000000000" w:firstRow="0" w:lastRow="0" w:firstColumn="1" w:lastColumn="0" w:oddVBand="0" w:evenVBand="0" w:oddHBand="0" w:evenHBand="0" w:firstRowFirstColumn="0" w:firstRowLastColumn="0" w:lastRowFirstColumn="0" w:lastRowLastColumn="0"/>
            <w:tcW w:w="536" w:type="dxa"/>
            <w:noWrap/>
            <w:vAlign w:val="center"/>
            <w:hideMark/>
          </w:tcPr>
          <w:p w14:paraId="3D6BC0B8" w14:textId="77777777" w:rsidR="00006530" w:rsidRPr="005F0B1B" w:rsidRDefault="00006530" w:rsidP="00385846">
            <w:pPr>
              <w:jc w:val="center"/>
              <w:rPr>
                <w:sz w:val="16"/>
                <w:szCs w:val="16"/>
              </w:rPr>
            </w:pPr>
            <w:r w:rsidRPr="005F0B1B">
              <w:rPr>
                <w:sz w:val="16"/>
                <w:szCs w:val="16"/>
              </w:rPr>
              <w:t>2029</w:t>
            </w:r>
          </w:p>
        </w:tc>
        <w:tc>
          <w:tcPr>
            <w:tcW w:w="1591" w:type="dxa"/>
            <w:noWrap/>
            <w:vAlign w:val="center"/>
            <w:hideMark/>
          </w:tcPr>
          <w:p w14:paraId="69CD2064" w14:textId="77777777" w:rsidR="00006530" w:rsidRPr="005F0B1B" w:rsidRDefault="00006530" w:rsidP="00385846">
            <w:pPr>
              <w:jc w:val="center"/>
              <w:cnfStyle w:val="000000000000" w:firstRow="0" w:lastRow="0" w:firstColumn="0" w:lastColumn="0" w:oddVBand="0" w:evenVBand="0" w:oddHBand="0" w:evenHBand="0" w:firstRowFirstColumn="0" w:firstRowLastColumn="0" w:lastRowFirstColumn="0" w:lastRowLastColumn="0"/>
              <w:rPr>
                <w:sz w:val="16"/>
                <w:szCs w:val="16"/>
              </w:rPr>
            </w:pPr>
            <w:r w:rsidRPr="005F0B1B">
              <w:rPr>
                <w:sz w:val="16"/>
                <w:szCs w:val="16"/>
              </w:rPr>
              <w:t>97,326</w:t>
            </w:r>
          </w:p>
        </w:tc>
        <w:tc>
          <w:tcPr>
            <w:tcW w:w="1386" w:type="dxa"/>
            <w:noWrap/>
            <w:vAlign w:val="center"/>
            <w:hideMark/>
          </w:tcPr>
          <w:p w14:paraId="7D609C74" w14:textId="77777777" w:rsidR="00006530" w:rsidRPr="005F0B1B" w:rsidRDefault="00006530" w:rsidP="00385846">
            <w:pPr>
              <w:jc w:val="center"/>
              <w:cnfStyle w:val="000000000000" w:firstRow="0" w:lastRow="0" w:firstColumn="0" w:lastColumn="0" w:oddVBand="0" w:evenVBand="0" w:oddHBand="0" w:evenHBand="0" w:firstRowFirstColumn="0" w:firstRowLastColumn="0" w:lastRowFirstColumn="0" w:lastRowLastColumn="0"/>
              <w:rPr>
                <w:sz w:val="16"/>
                <w:szCs w:val="16"/>
              </w:rPr>
            </w:pPr>
            <w:r w:rsidRPr="005F0B1B">
              <w:rPr>
                <w:sz w:val="16"/>
                <w:szCs w:val="16"/>
              </w:rPr>
              <w:t>22,436</w:t>
            </w:r>
          </w:p>
        </w:tc>
        <w:tc>
          <w:tcPr>
            <w:tcW w:w="1449" w:type="dxa"/>
            <w:noWrap/>
            <w:vAlign w:val="center"/>
            <w:hideMark/>
          </w:tcPr>
          <w:p w14:paraId="7E5EFF34" w14:textId="77777777" w:rsidR="00006530" w:rsidRPr="005F0B1B" w:rsidRDefault="00006530" w:rsidP="00385846">
            <w:pPr>
              <w:jc w:val="center"/>
              <w:cnfStyle w:val="000000000000" w:firstRow="0" w:lastRow="0" w:firstColumn="0" w:lastColumn="0" w:oddVBand="0" w:evenVBand="0" w:oddHBand="0" w:evenHBand="0" w:firstRowFirstColumn="0" w:firstRowLastColumn="0" w:lastRowFirstColumn="0" w:lastRowLastColumn="0"/>
              <w:rPr>
                <w:sz w:val="16"/>
                <w:szCs w:val="16"/>
              </w:rPr>
            </w:pPr>
            <w:r w:rsidRPr="005F0B1B">
              <w:rPr>
                <w:sz w:val="16"/>
                <w:szCs w:val="16"/>
              </w:rPr>
              <w:t>23%</w:t>
            </w:r>
          </w:p>
        </w:tc>
      </w:tr>
      <w:tr w:rsidR="00006530" w:rsidRPr="005F0B1B" w14:paraId="03226A11" w14:textId="77777777" w:rsidTr="00385846">
        <w:trPr>
          <w:cnfStyle w:val="000000100000" w:firstRow="0" w:lastRow="0" w:firstColumn="0" w:lastColumn="0" w:oddVBand="0" w:evenVBand="0" w:oddHBand="1" w:evenHBand="0" w:firstRowFirstColumn="0" w:firstRowLastColumn="0" w:lastRowFirstColumn="0" w:lastRowLastColumn="0"/>
          <w:trHeight w:val="204"/>
          <w:jc w:val="center"/>
        </w:trPr>
        <w:tc>
          <w:tcPr>
            <w:cnfStyle w:val="001000000000" w:firstRow="0" w:lastRow="0" w:firstColumn="1" w:lastColumn="0" w:oddVBand="0" w:evenVBand="0" w:oddHBand="0" w:evenHBand="0" w:firstRowFirstColumn="0" w:firstRowLastColumn="0" w:lastRowFirstColumn="0" w:lastRowLastColumn="0"/>
            <w:tcW w:w="536" w:type="dxa"/>
            <w:noWrap/>
            <w:vAlign w:val="center"/>
            <w:hideMark/>
          </w:tcPr>
          <w:p w14:paraId="24291A00" w14:textId="77777777" w:rsidR="00006530" w:rsidRPr="005F0B1B" w:rsidRDefault="00006530" w:rsidP="00385846">
            <w:pPr>
              <w:jc w:val="center"/>
              <w:rPr>
                <w:sz w:val="16"/>
                <w:szCs w:val="16"/>
              </w:rPr>
            </w:pPr>
            <w:r w:rsidRPr="005F0B1B">
              <w:rPr>
                <w:sz w:val="16"/>
                <w:szCs w:val="16"/>
              </w:rPr>
              <w:t>2030</w:t>
            </w:r>
          </w:p>
        </w:tc>
        <w:tc>
          <w:tcPr>
            <w:tcW w:w="1591" w:type="dxa"/>
            <w:noWrap/>
            <w:vAlign w:val="center"/>
            <w:hideMark/>
          </w:tcPr>
          <w:p w14:paraId="57D7441F" w14:textId="77777777" w:rsidR="00006530" w:rsidRPr="005F0B1B" w:rsidRDefault="00006530" w:rsidP="00385846">
            <w:pPr>
              <w:jc w:val="center"/>
              <w:cnfStyle w:val="000000100000" w:firstRow="0" w:lastRow="0" w:firstColumn="0" w:lastColumn="0" w:oddVBand="0" w:evenVBand="0" w:oddHBand="1" w:evenHBand="0" w:firstRowFirstColumn="0" w:firstRowLastColumn="0" w:lastRowFirstColumn="0" w:lastRowLastColumn="0"/>
              <w:rPr>
                <w:sz w:val="16"/>
                <w:szCs w:val="16"/>
              </w:rPr>
            </w:pPr>
            <w:r w:rsidRPr="005F0B1B">
              <w:rPr>
                <w:sz w:val="16"/>
                <w:szCs w:val="16"/>
              </w:rPr>
              <w:t>101,180</w:t>
            </w:r>
          </w:p>
        </w:tc>
        <w:tc>
          <w:tcPr>
            <w:tcW w:w="1386" w:type="dxa"/>
            <w:noWrap/>
            <w:vAlign w:val="center"/>
            <w:hideMark/>
          </w:tcPr>
          <w:p w14:paraId="785D3618" w14:textId="77777777" w:rsidR="00006530" w:rsidRPr="005F0B1B" w:rsidRDefault="00006530" w:rsidP="00385846">
            <w:pPr>
              <w:jc w:val="center"/>
              <w:cnfStyle w:val="000000100000" w:firstRow="0" w:lastRow="0" w:firstColumn="0" w:lastColumn="0" w:oddVBand="0" w:evenVBand="0" w:oddHBand="1" w:evenHBand="0" w:firstRowFirstColumn="0" w:firstRowLastColumn="0" w:lastRowFirstColumn="0" w:lastRowLastColumn="0"/>
              <w:rPr>
                <w:sz w:val="16"/>
                <w:szCs w:val="16"/>
              </w:rPr>
            </w:pPr>
            <w:r w:rsidRPr="005F0B1B">
              <w:rPr>
                <w:sz w:val="16"/>
                <w:szCs w:val="16"/>
              </w:rPr>
              <w:t>21,069</w:t>
            </w:r>
          </w:p>
        </w:tc>
        <w:tc>
          <w:tcPr>
            <w:tcW w:w="1449" w:type="dxa"/>
            <w:noWrap/>
            <w:vAlign w:val="center"/>
            <w:hideMark/>
          </w:tcPr>
          <w:p w14:paraId="2AF138F2" w14:textId="77777777" w:rsidR="00006530" w:rsidRPr="005F0B1B" w:rsidRDefault="00006530" w:rsidP="00385846">
            <w:pPr>
              <w:jc w:val="center"/>
              <w:cnfStyle w:val="000000100000" w:firstRow="0" w:lastRow="0" w:firstColumn="0" w:lastColumn="0" w:oddVBand="0" w:evenVBand="0" w:oddHBand="1" w:evenHBand="0" w:firstRowFirstColumn="0" w:firstRowLastColumn="0" w:lastRowFirstColumn="0" w:lastRowLastColumn="0"/>
              <w:rPr>
                <w:sz w:val="16"/>
                <w:szCs w:val="16"/>
              </w:rPr>
            </w:pPr>
            <w:r w:rsidRPr="005F0B1B">
              <w:rPr>
                <w:sz w:val="16"/>
                <w:szCs w:val="16"/>
              </w:rPr>
              <w:t>21%</w:t>
            </w:r>
          </w:p>
        </w:tc>
      </w:tr>
      <w:tr w:rsidR="00006530" w:rsidRPr="005F0B1B" w14:paraId="3D0AEBB6" w14:textId="77777777" w:rsidTr="00385846">
        <w:trPr>
          <w:trHeight w:val="204"/>
          <w:jc w:val="center"/>
        </w:trPr>
        <w:tc>
          <w:tcPr>
            <w:cnfStyle w:val="001000000000" w:firstRow="0" w:lastRow="0" w:firstColumn="1" w:lastColumn="0" w:oddVBand="0" w:evenVBand="0" w:oddHBand="0" w:evenHBand="0" w:firstRowFirstColumn="0" w:firstRowLastColumn="0" w:lastRowFirstColumn="0" w:lastRowLastColumn="0"/>
            <w:tcW w:w="536" w:type="dxa"/>
            <w:noWrap/>
            <w:vAlign w:val="center"/>
            <w:hideMark/>
          </w:tcPr>
          <w:p w14:paraId="5A4BD2F5" w14:textId="77777777" w:rsidR="00006530" w:rsidRPr="005F0B1B" w:rsidRDefault="00006530" w:rsidP="00385846">
            <w:pPr>
              <w:jc w:val="center"/>
              <w:rPr>
                <w:sz w:val="16"/>
                <w:szCs w:val="16"/>
              </w:rPr>
            </w:pPr>
            <w:r w:rsidRPr="005F0B1B">
              <w:rPr>
                <w:sz w:val="16"/>
                <w:szCs w:val="16"/>
              </w:rPr>
              <w:t>2031</w:t>
            </w:r>
          </w:p>
        </w:tc>
        <w:tc>
          <w:tcPr>
            <w:tcW w:w="1591" w:type="dxa"/>
            <w:noWrap/>
            <w:vAlign w:val="center"/>
            <w:hideMark/>
          </w:tcPr>
          <w:p w14:paraId="29E8F778" w14:textId="77777777" w:rsidR="00006530" w:rsidRPr="005F0B1B" w:rsidRDefault="00006530" w:rsidP="00385846">
            <w:pPr>
              <w:jc w:val="center"/>
              <w:cnfStyle w:val="000000000000" w:firstRow="0" w:lastRow="0" w:firstColumn="0" w:lastColumn="0" w:oddVBand="0" w:evenVBand="0" w:oddHBand="0" w:evenHBand="0" w:firstRowFirstColumn="0" w:firstRowLastColumn="0" w:lastRowFirstColumn="0" w:lastRowLastColumn="0"/>
              <w:rPr>
                <w:sz w:val="16"/>
                <w:szCs w:val="16"/>
              </w:rPr>
            </w:pPr>
            <w:r w:rsidRPr="005F0B1B">
              <w:rPr>
                <w:sz w:val="16"/>
                <w:szCs w:val="16"/>
              </w:rPr>
              <w:t>105,186</w:t>
            </w:r>
          </w:p>
        </w:tc>
        <w:tc>
          <w:tcPr>
            <w:tcW w:w="1386" w:type="dxa"/>
            <w:noWrap/>
            <w:vAlign w:val="center"/>
            <w:hideMark/>
          </w:tcPr>
          <w:p w14:paraId="696A87BD" w14:textId="77777777" w:rsidR="00006530" w:rsidRPr="005F0B1B" w:rsidRDefault="00006530" w:rsidP="00385846">
            <w:pPr>
              <w:jc w:val="center"/>
              <w:cnfStyle w:val="000000000000" w:firstRow="0" w:lastRow="0" w:firstColumn="0" w:lastColumn="0" w:oddVBand="0" w:evenVBand="0" w:oddHBand="0" w:evenHBand="0" w:firstRowFirstColumn="0" w:firstRowLastColumn="0" w:lastRowFirstColumn="0" w:lastRowLastColumn="0"/>
              <w:rPr>
                <w:sz w:val="16"/>
                <w:szCs w:val="16"/>
              </w:rPr>
            </w:pPr>
            <w:r w:rsidRPr="005F0B1B">
              <w:rPr>
                <w:sz w:val="16"/>
                <w:szCs w:val="16"/>
              </w:rPr>
              <w:t>19,701</w:t>
            </w:r>
          </w:p>
        </w:tc>
        <w:tc>
          <w:tcPr>
            <w:tcW w:w="1449" w:type="dxa"/>
            <w:noWrap/>
            <w:vAlign w:val="center"/>
            <w:hideMark/>
          </w:tcPr>
          <w:p w14:paraId="36E65300" w14:textId="77777777" w:rsidR="00006530" w:rsidRPr="005F0B1B" w:rsidRDefault="00006530" w:rsidP="00385846">
            <w:pPr>
              <w:jc w:val="center"/>
              <w:cnfStyle w:val="000000000000" w:firstRow="0" w:lastRow="0" w:firstColumn="0" w:lastColumn="0" w:oddVBand="0" w:evenVBand="0" w:oddHBand="0" w:evenHBand="0" w:firstRowFirstColumn="0" w:firstRowLastColumn="0" w:lastRowFirstColumn="0" w:lastRowLastColumn="0"/>
              <w:rPr>
                <w:sz w:val="16"/>
                <w:szCs w:val="16"/>
              </w:rPr>
            </w:pPr>
            <w:r w:rsidRPr="005F0B1B">
              <w:rPr>
                <w:sz w:val="16"/>
                <w:szCs w:val="16"/>
              </w:rPr>
              <w:t>19%</w:t>
            </w:r>
          </w:p>
        </w:tc>
      </w:tr>
      <w:tr w:rsidR="00006530" w:rsidRPr="005F0B1B" w14:paraId="5DA5EC6E" w14:textId="77777777" w:rsidTr="00385846">
        <w:trPr>
          <w:cnfStyle w:val="000000100000" w:firstRow="0" w:lastRow="0" w:firstColumn="0" w:lastColumn="0" w:oddVBand="0" w:evenVBand="0" w:oddHBand="1" w:evenHBand="0" w:firstRowFirstColumn="0" w:firstRowLastColumn="0" w:lastRowFirstColumn="0" w:lastRowLastColumn="0"/>
          <w:trHeight w:val="204"/>
          <w:jc w:val="center"/>
        </w:trPr>
        <w:tc>
          <w:tcPr>
            <w:cnfStyle w:val="001000000000" w:firstRow="0" w:lastRow="0" w:firstColumn="1" w:lastColumn="0" w:oddVBand="0" w:evenVBand="0" w:oddHBand="0" w:evenHBand="0" w:firstRowFirstColumn="0" w:firstRowLastColumn="0" w:lastRowFirstColumn="0" w:lastRowLastColumn="0"/>
            <w:tcW w:w="536" w:type="dxa"/>
            <w:tcBorders>
              <w:bottom w:val="nil"/>
            </w:tcBorders>
            <w:noWrap/>
            <w:vAlign w:val="center"/>
            <w:hideMark/>
          </w:tcPr>
          <w:p w14:paraId="67016E3F" w14:textId="77777777" w:rsidR="00006530" w:rsidRPr="005F0B1B" w:rsidRDefault="00006530" w:rsidP="00385846">
            <w:pPr>
              <w:jc w:val="center"/>
              <w:rPr>
                <w:sz w:val="16"/>
                <w:szCs w:val="16"/>
              </w:rPr>
            </w:pPr>
            <w:r w:rsidRPr="005F0B1B">
              <w:rPr>
                <w:sz w:val="16"/>
                <w:szCs w:val="16"/>
              </w:rPr>
              <w:t>2032</w:t>
            </w:r>
          </w:p>
        </w:tc>
        <w:tc>
          <w:tcPr>
            <w:tcW w:w="1591" w:type="dxa"/>
            <w:tcBorders>
              <w:bottom w:val="nil"/>
            </w:tcBorders>
            <w:noWrap/>
            <w:vAlign w:val="center"/>
            <w:hideMark/>
          </w:tcPr>
          <w:p w14:paraId="3CEF4B84" w14:textId="77777777" w:rsidR="00006530" w:rsidRPr="005F0B1B" w:rsidRDefault="00006530" w:rsidP="00385846">
            <w:pPr>
              <w:jc w:val="center"/>
              <w:cnfStyle w:val="000000100000" w:firstRow="0" w:lastRow="0" w:firstColumn="0" w:lastColumn="0" w:oddVBand="0" w:evenVBand="0" w:oddHBand="1" w:evenHBand="0" w:firstRowFirstColumn="0" w:firstRowLastColumn="0" w:lastRowFirstColumn="0" w:lastRowLastColumn="0"/>
              <w:rPr>
                <w:sz w:val="16"/>
                <w:szCs w:val="16"/>
              </w:rPr>
            </w:pPr>
            <w:r w:rsidRPr="005F0B1B">
              <w:rPr>
                <w:sz w:val="16"/>
                <w:szCs w:val="16"/>
              </w:rPr>
              <w:t>109,352</w:t>
            </w:r>
          </w:p>
        </w:tc>
        <w:tc>
          <w:tcPr>
            <w:tcW w:w="1386" w:type="dxa"/>
            <w:tcBorders>
              <w:bottom w:val="nil"/>
            </w:tcBorders>
            <w:noWrap/>
            <w:vAlign w:val="center"/>
            <w:hideMark/>
          </w:tcPr>
          <w:p w14:paraId="4330DE9F" w14:textId="77777777" w:rsidR="00006530" w:rsidRPr="005F0B1B" w:rsidRDefault="00006530" w:rsidP="00385846">
            <w:pPr>
              <w:jc w:val="center"/>
              <w:cnfStyle w:val="000000100000" w:firstRow="0" w:lastRow="0" w:firstColumn="0" w:lastColumn="0" w:oddVBand="0" w:evenVBand="0" w:oddHBand="1" w:evenHBand="0" w:firstRowFirstColumn="0" w:firstRowLastColumn="0" w:lastRowFirstColumn="0" w:lastRowLastColumn="0"/>
              <w:rPr>
                <w:sz w:val="16"/>
                <w:szCs w:val="16"/>
              </w:rPr>
            </w:pPr>
            <w:r w:rsidRPr="005F0B1B">
              <w:rPr>
                <w:sz w:val="16"/>
                <w:szCs w:val="16"/>
              </w:rPr>
              <w:t>18,337</w:t>
            </w:r>
          </w:p>
        </w:tc>
        <w:tc>
          <w:tcPr>
            <w:tcW w:w="1449" w:type="dxa"/>
            <w:tcBorders>
              <w:bottom w:val="nil"/>
            </w:tcBorders>
            <w:noWrap/>
            <w:vAlign w:val="center"/>
            <w:hideMark/>
          </w:tcPr>
          <w:p w14:paraId="44D9412B" w14:textId="77777777" w:rsidR="00006530" w:rsidRPr="005F0B1B" w:rsidRDefault="00006530" w:rsidP="00385846">
            <w:pPr>
              <w:jc w:val="center"/>
              <w:cnfStyle w:val="000000100000" w:firstRow="0" w:lastRow="0" w:firstColumn="0" w:lastColumn="0" w:oddVBand="0" w:evenVBand="0" w:oddHBand="1" w:evenHBand="0" w:firstRowFirstColumn="0" w:firstRowLastColumn="0" w:lastRowFirstColumn="0" w:lastRowLastColumn="0"/>
              <w:rPr>
                <w:sz w:val="16"/>
                <w:szCs w:val="16"/>
              </w:rPr>
            </w:pPr>
            <w:r w:rsidRPr="005F0B1B">
              <w:rPr>
                <w:sz w:val="16"/>
                <w:szCs w:val="16"/>
              </w:rPr>
              <w:t>17%</w:t>
            </w:r>
          </w:p>
        </w:tc>
      </w:tr>
      <w:tr w:rsidR="00006530" w:rsidRPr="005F0B1B" w14:paraId="181590A7" w14:textId="77777777" w:rsidTr="00385846">
        <w:trPr>
          <w:trHeight w:val="204"/>
          <w:jc w:val="center"/>
        </w:trPr>
        <w:tc>
          <w:tcPr>
            <w:cnfStyle w:val="001000000000" w:firstRow="0" w:lastRow="0" w:firstColumn="1" w:lastColumn="0" w:oddVBand="0" w:evenVBand="0" w:oddHBand="0" w:evenHBand="0" w:firstRowFirstColumn="0" w:firstRowLastColumn="0" w:lastRowFirstColumn="0" w:lastRowLastColumn="0"/>
            <w:tcW w:w="4962" w:type="dxa"/>
            <w:gridSpan w:val="4"/>
            <w:tcBorders>
              <w:top w:val="nil"/>
              <w:bottom w:val="nil"/>
            </w:tcBorders>
            <w:noWrap/>
            <w:vAlign w:val="center"/>
          </w:tcPr>
          <w:p w14:paraId="416C21AF" w14:textId="4F294C33" w:rsidR="00006530" w:rsidRPr="00007C95" w:rsidRDefault="00006530" w:rsidP="00385846">
            <w:pPr>
              <w:jc w:val="right"/>
              <w:rPr>
                <w:sz w:val="16"/>
                <w:szCs w:val="16"/>
              </w:rPr>
            </w:pPr>
            <w:r>
              <w:rPr>
                <w:b w:val="0"/>
                <w:i/>
                <w:sz w:val="18"/>
                <w:szCs w:val="22"/>
              </w:rPr>
              <w:t>Fuente: Cálculo</w:t>
            </w:r>
            <w:r w:rsidR="0097341A">
              <w:rPr>
                <w:b w:val="0"/>
                <w:i/>
                <w:sz w:val="18"/>
                <w:szCs w:val="22"/>
              </w:rPr>
              <w:t xml:space="preserve"> Unidad</w:t>
            </w:r>
            <w:r>
              <w:rPr>
                <w:b w:val="0"/>
                <w:i/>
                <w:sz w:val="18"/>
                <w:szCs w:val="22"/>
              </w:rPr>
              <w:t xml:space="preserve"> proyectos especiales </w:t>
            </w:r>
            <w:r w:rsidRPr="00007C95">
              <w:rPr>
                <w:sz w:val="16"/>
                <w:szCs w:val="16"/>
              </w:rPr>
              <w:t xml:space="preserve"> </w:t>
            </w:r>
          </w:p>
          <w:p w14:paraId="6C551BBA" w14:textId="77777777" w:rsidR="00006530" w:rsidRPr="005F0B1B" w:rsidRDefault="00006530" w:rsidP="00385846">
            <w:pPr>
              <w:jc w:val="center"/>
              <w:rPr>
                <w:sz w:val="16"/>
                <w:szCs w:val="16"/>
              </w:rPr>
            </w:pPr>
          </w:p>
        </w:tc>
      </w:tr>
    </w:tbl>
    <w:p w14:paraId="0E5B27AB" w14:textId="77777777" w:rsidR="00006530" w:rsidRDefault="00006530" w:rsidP="00006530">
      <w:pPr>
        <w:jc w:val="both"/>
        <w:rPr>
          <w:sz w:val="22"/>
          <w:szCs w:val="22"/>
        </w:rPr>
      </w:pPr>
    </w:p>
    <w:p w14:paraId="1EA3A8ED" w14:textId="2B055B9B" w:rsidR="00935E53" w:rsidRDefault="00F81B63" w:rsidP="00006530">
      <w:pPr>
        <w:jc w:val="both"/>
        <w:rPr>
          <w:sz w:val="22"/>
          <w:szCs w:val="22"/>
        </w:rPr>
      </w:pPr>
      <w:r>
        <w:rPr>
          <w:sz w:val="22"/>
          <w:szCs w:val="22"/>
        </w:rPr>
        <w:t xml:space="preserve">Al respecto es importante considerar que </w:t>
      </w:r>
      <w:r w:rsidR="00006530">
        <w:rPr>
          <w:sz w:val="22"/>
          <w:szCs w:val="22"/>
        </w:rPr>
        <w:t xml:space="preserve">el </w:t>
      </w:r>
      <w:r w:rsidR="00006530" w:rsidRPr="00E2335D">
        <w:rPr>
          <w:sz w:val="22"/>
          <w:szCs w:val="22"/>
        </w:rPr>
        <w:t>documento del DNP del 9 de mayo (20184380298581)</w:t>
      </w:r>
      <w:r w:rsidR="00006530">
        <w:rPr>
          <w:sz w:val="22"/>
          <w:szCs w:val="22"/>
        </w:rPr>
        <w:t>, menciona como un punto para destacar</w:t>
      </w:r>
      <w:r w:rsidR="00935E53">
        <w:rPr>
          <w:sz w:val="22"/>
          <w:szCs w:val="22"/>
        </w:rPr>
        <w:t>:</w:t>
      </w:r>
    </w:p>
    <w:p w14:paraId="5CCAE269" w14:textId="77777777" w:rsidR="00935E53" w:rsidRDefault="00935E53" w:rsidP="00006530">
      <w:pPr>
        <w:jc w:val="both"/>
        <w:rPr>
          <w:sz w:val="22"/>
          <w:szCs w:val="22"/>
        </w:rPr>
      </w:pPr>
    </w:p>
    <w:p w14:paraId="5A0D8C28" w14:textId="3F310C2C" w:rsidR="00006530" w:rsidRPr="000420E0" w:rsidRDefault="00006530" w:rsidP="00D641AB">
      <w:pPr>
        <w:ind w:left="284" w:right="333"/>
        <w:jc w:val="both"/>
        <w:rPr>
          <w:sz w:val="18"/>
          <w:szCs w:val="22"/>
        </w:rPr>
      </w:pPr>
      <w:r w:rsidRPr="000420E0">
        <w:rPr>
          <w:sz w:val="18"/>
          <w:szCs w:val="22"/>
        </w:rPr>
        <w:t>(...) “</w:t>
      </w:r>
      <w:r w:rsidRPr="000420E0">
        <w:rPr>
          <w:i/>
          <w:sz w:val="18"/>
          <w:szCs w:val="22"/>
        </w:rPr>
        <w:t>Bajo nivel de endeudamiento, con el empréstito propuesto llegaría a un nivel máximo de 21% lo cual refleja un nivel sano</w:t>
      </w:r>
      <w:r w:rsidRPr="000420E0">
        <w:rPr>
          <w:sz w:val="18"/>
          <w:szCs w:val="22"/>
        </w:rPr>
        <w:t>”</w:t>
      </w:r>
    </w:p>
    <w:p w14:paraId="54C6CDD8" w14:textId="77777777" w:rsidR="00006530" w:rsidRDefault="00006530" w:rsidP="00006530">
      <w:pPr>
        <w:jc w:val="both"/>
        <w:rPr>
          <w:b/>
          <w:color w:val="385623" w:themeColor="accent6" w:themeShade="80"/>
          <w:sz w:val="22"/>
        </w:rPr>
      </w:pPr>
    </w:p>
    <w:p w14:paraId="69D3C636" w14:textId="6744F9CB" w:rsidR="00006530" w:rsidRDefault="005576A6" w:rsidP="00006530">
      <w:pPr>
        <w:rPr>
          <w:b/>
          <w:color w:val="385623" w:themeColor="accent6" w:themeShade="80"/>
          <w:sz w:val="22"/>
        </w:rPr>
      </w:pPr>
      <w:r>
        <w:rPr>
          <w:b/>
          <w:color w:val="385623" w:themeColor="accent6" w:themeShade="80"/>
          <w:sz w:val="22"/>
        </w:rPr>
        <w:t>Observac</w:t>
      </w:r>
      <w:r w:rsidR="00690B1C">
        <w:rPr>
          <w:b/>
          <w:color w:val="385623" w:themeColor="accent6" w:themeShade="80"/>
          <w:sz w:val="22"/>
        </w:rPr>
        <w:t>ión</w:t>
      </w:r>
      <w:r w:rsidR="00006530" w:rsidRPr="00635C3F">
        <w:rPr>
          <w:b/>
          <w:color w:val="385623" w:themeColor="accent6" w:themeShade="80"/>
          <w:sz w:val="22"/>
        </w:rPr>
        <w:t xml:space="preserve"> </w:t>
      </w:r>
    </w:p>
    <w:p w14:paraId="3AA07E66" w14:textId="20885340" w:rsidR="00006530" w:rsidRPr="00EE0BDE" w:rsidRDefault="00006530">
      <w:pPr>
        <w:jc w:val="both"/>
        <w:rPr>
          <w:sz w:val="22"/>
          <w:szCs w:val="22"/>
        </w:rPr>
      </w:pPr>
      <w:r>
        <w:rPr>
          <w:sz w:val="22"/>
          <w:szCs w:val="22"/>
        </w:rPr>
        <w:t>Se o</w:t>
      </w:r>
      <w:r w:rsidRPr="00EE0BDE">
        <w:rPr>
          <w:sz w:val="22"/>
          <w:szCs w:val="22"/>
        </w:rPr>
        <w:t>b</w:t>
      </w:r>
      <w:r>
        <w:rPr>
          <w:sz w:val="22"/>
          <w:szCs w:val="22"/>
        </w:rPr>
        <w:t>serva una diferencia en</w:t>
      </w:r>
      <w:r w:rsidR="00935E53">
        <w:rPr>
          <w:sz w:val="22"/>
          <w:szCs w:val="22"/>
        </w:rPr>
        <w:t>tre</w:t>
      </w:r>
      <w:r>
        <w:rPr>
          <w:sz w:val="22"/>
          <w:szCs w:val="22"/>
        </w:rPr>
        <w:t xml:space="preserve"> la </w:t>
      </w:r>
      <w:r w:rsidR="00935E53">
        <w:rPr>
          <w:sz w:val="22"/>
          <w:szCs w:val="22"/>
        </w:rPr>
        <w:t>proyección realizada</w:t>
      </w:r>
      <w:r>
        <w:rPr>
          <w:sz w:val="22"/>
          <w:szCs w:val="22"/>
        </w:rPr>
        <w:t xml:space="preserve"> como respaldo al pago de servicio de la deuda y las mencionadas por Departamento Nacional de Planeación</w:t>
      </w:r>
      <w:r w:rsidR="001D36EE">
        <w:rPr>
          <w:sz w:val="22"/>
          <w:szCs w:val="22"/>
        </w:rPr>
        <w:t>, i</w:t>
      </w:r>
      <w:r>
        <w:rPr>
          <w:sz w:val="22"/>
          <w:szCs w:val="22"/>
        </w:rPr>
        <w:t xml:space="preserve">ncluso </w:t>
      </w:r>
      <w:r w:rsidR="00935E53">
        <w:rPr>
          <w:sz w:val="22"/>
          <w:szCs w:val="22"/>
        </w:rPr>
        <w:t xml:space="preserve">considerando </w:t>
      </w:r>
      <w:r>
        <w:rPr>
          <w:sz w:val="22"/>
          <w:szCs w:val="22"/>
        </w:rPr>
        <w:t>ingresos crecientes de estampilla hasta el año 2032</w:t>
      </w:r>
      <w:r w:rsidR="00935E53">
        <w:rPr>
          <w:sz w:val="22"/>
          <w:szCs w:val="22"/>
        </w:rPr>
        <w:t>.</w:t>
      </w:r>
    </w:p>
    <w:p w14:paraId="3A1DD2B7" w14:textId="562152CB" w:rsidR="00006530" w:rsidRDefault="00006530" w:rsidP="00006530">
      <w:pPr>
        <w:jc w:val="both"/>
        <w:rPr>
          <w:b/>
          <w:color w:val="385623" w:themeColor="accent6" w:themeShade="80"/>
          <w:sz w:val="22"/>
        </w:rPr>
      </w:pPr>
    </w:p>
    <w:p w14:paraId="4AD9E75C" w14:textId="77777777" w:rsidR="009A58B6" w:rsidRPr="00690B1C" w:rsidRDefault="009A58B6" w:rsidP="009A58B6">
      <w:pPr>
        <w:rPr>
          <w:b/>
          <w:color w:val="385623" w:themeColor="accent6" w:themeShade="80"/>
          <w:sz w:val="22"/>
        </w:rPr>
      </w:pPr>
      <w:r w:rsidRPr="00690B1C">
        <w:rPr>
          <w:b/>
          <w:color w:val="385623" w:themeColor="accent6" w:themeShade="80"/>
          <w:sz w:val="22"/>
        </w:rPr>
        <w:t>Riesgo</w:t>
      </w:r>
    </w:p>
    <w:p w14:paraId="248D8C64" w14:textId="46CD50A2" w:rsidR="009A58B6" w:rsidRPr="000E4BC0" w:rsidRDefault="009A58B6" w:rsidP="009A58B6">
      <w:pPr>
        <w:jc w:val="both"/>
        <w:rPr>
          <w:sz w:val="22"/>
          <w:szCs w:val="22"/>
        </w:rPr>
      </w:pPr>
      <w:r>
        <w:rPr>
          <w:sz w:val="22"/>
          <w:szCs w:val="22"/>
        </w:rPr>
        <w:t>Alto compromiso de recursos para el pago de servicios a la deuda, que dificultaría la ejecución de próximos empréstitos y proyectos.</w:t>
      </w:r>
    </w:p>
    <w:p w14:paraId="654F953E" w14:textId="77777777" w:rsidR="009A58B6" w:rsidRDefault="009A58B6" w:rsidP="009A58B6">
      <w:pPr>
        <w:jc w:val="both"/>
        <w:rPr>
          <w:sz w:val="22"/>
        </w:rPr>
      </w:pPr>
    </w:p>
    <w:p w14:paraId="391D5F37" w14:textId="77777777" w:rsidR="009A58B6" w:rsidRDefault="009A58B6" w:rsidP="009A58B6">
      <w:pPr>
        <w:rPr>
          <w:b/>
          <w:color w:val="385623" w:themeColor="accent6" w:themeShade="80"/>
          <w:sz w:val="22"/>
        </w:rPr>
      </w:pPr>
      <w:r w:rsidRPr="00690B1C">
        <w:rPr>
          <w:b/>
          <w:color w:val="385623" w:themeColor="accent6" w:themeShade="80"/>
          <w:sz w:val="22"/>
        </w:rPr>
        <w:t>Recomendación</w:t>
      </w:r>
    </w:p>
    <w:p w14:paraId="53F31FDE" w14:textId="2C9320E1" w:rsidR="00935E53" w:rsidRPr="00D641AB" w:rsidRDefault="00935E53" w:rsidP="00D641AB">
      <w:pPr>
        <w:pStyle w:val="Prrafodelista"/>
        <w:numPr>
          <w:ilvl w:val="0"/>
          <w:numId w:val="63"/>
        </w:numPr>
        <w:ind w:left="284" w:hanging="284"/>
        <w:jc w:val="both"/>
        <w:rPr>
          <w:sz w:val="22"/>
          <w:szCs w:val="22"/>
        </w:rPr>
      </w:pPr>
      <w:r w:rsidRPr="00D641AB">
        <w:rPr>
          <w:sz w:val="22"/>
          <w:szCs w:val="22"/>
        </w:rPr>
        <w:t>Se reitera la importancia de revisar las proyecciones realizadas, teniendo en cuenta que esta fuente de recursos posiblemente terminaría antes de ese año. Además, tener presente que el servicio de la deuda por lo menos entre los años 2020 y 2026 representarían más del 30% de estos ingresos.</w:t>
      </w:r>
    </w:p>
    <w:p w14:paraId="5BF28BE4" w14:textId="77777777" w:rsidR="00935E53" w:rsidRDefault="00935E53" w:rsidP="00D641AB">
      <w:pPr>
        <w:ind w:left="284" w:hanging="284"/>
        <w:jc w:val="both"/>
        <w:rPr>
          <w:sz w:val="22"/>
        </w:rPr>
      </w:pPr>
    </w:p>
    <w:p w14:paraId="36DA85D7" w14:textId="7D8312A4" w:rsidR="009A58B6" w:rsidRPr="00D641AB" w:rsidRDefault="0097341A" w:rsidP="00D641AB">
      <w:pPr>
        <w:pStyle w:val="Prrafodelista"/>
        <w:numPr>
          <w:ilvl w:val="0"/>
          <w:numId w:val="63"/>
        </w:numPr>
        <w:ind w:left="284" w:hanging="284"/>
        <w:jc w:val="both"/>
        <w:rPr>
          <w:sz w:val="22"/>
        </w:rPr>
      </w:pPr>
      <w:r w:rsidRPr="00D641AB">
        <w:rPr>
          <w:sz w:val="22"/>
        </w:rPr>
        <w:t xml:space="preserve">Evaluar en las diferentes proyecciones de deuda </w:t>
      </w:r>
      <w:r w:rsidR="000420E0">
        <w:rPr>
          <w:sz w:val="22"/>
        </w:rPr>
        <w:t xml:space="preserve">y </w:t>
      </w:r>
      <w:r w:rsidRPr="00D641AB">
        <w:rPr>
          <w:sz w:val="22"/>
        </w:rPr>
        <w:t>el nivel de compromiso que adquiere la estampilla</w:t>
      </w:r>
      <w:r w:rsidR="009A58B6" w:rsidRPr="00D641AB">
        <w:rPr>
          <w:sz w:val="22"/>
        </w:rPr>
        <w:t>.</w:t>
      </w:r>
    </w:p>
    <w:p w14:paraId="5CC70F5A" w14:textId="77777777" w:rsidR="009B1587" w:rsidRDefault="009B1587" w:rsidP="009B1587">
      <w:pPr>
        <w:rPr>
          <w:b/>
          <w:color w:val="385623" w:themeColor="accent6" w:themeShade="80"/>
          <w:sz w:val="22"/>
        </w:rPr>
      </w:pPr>
    </w:p>
    <w:p w14:paraId="07991043" w14:textId="717CD367" w:rsidR="009B1587" w:rsidRPr="009B1587" w:rsidRDefault="009B1587" w:rsidP="009B1587">
      <w:pPr>
        <w:rPr>
          <w:bCs/>
          <w:sz w:val="22"/>
          <w:szCs w:val="22"/>
        </w:rPr>
      </w:pPr>
      <w:r w:rsidRPr="009B1587">
        <w:rPr>
          <w:b/>
          <w:color w:val="385623" w:themeColor="accent6" w:themeShade="80"/>
          <w:sz w:val="22"/>
        </w:rPr>
        <w:t xml:space="preserve">Comentarios Administración </w:t>
      </w:r>
    </w:p>
    <w:p w14:paraId="16119FA7" w14:textId="77777777" w:rsidR="009B1587" w:rsidRPr="009B1587" w:rsidRDefault="009B1587" w:rsidP="009B1587">
      <w:pPr>
        <w:jc w:val="both"/>
        <w:rPr>
          <w:bCs/>
          <w:sz w:val="22"/>
          <w:szCs w:val="22"/>
        </w:rPr>
      </w:pPr>
      <w:r w:rsidRPr="009B1587">
        <w:rPr>
          <w:bCs/>
          <w:sz w:val="22"/>
          <w:szCs w:val="22"/>
        </w:rPr>
        <w:t xml:space="preserve">De </w:t>
      </w:r>
      <w:r w:rsidRPr="009B1587">
        <w:rPr>
          <w:sz w:val="22"/>
        </w:rPr>
        <w:t>acuerdo</w:t>
      </w:r>
      <w:r w:rsidRPr="009B1587">
        <w:rPr>
          <w:bCs/>
          <w:sz w:val="22"/>
          <w:szCs w:val="22"/>
        </w:rPr>
        <w:t xml:space="preserve"> con la recomendación</w:t>
      </w:r>
    </w:p>
    <w:p w14:paraId="19DA718E" w14:textId="77777777" w:rsidR="0053426A" w:rsidRDefault="0053426A" w:rsidP="00D641AB">
      <w:pPr>
        <w:spacing w:line="276" w:lineRule="auto"/>
        <w:rPr>
          <w:i/>
          <w:iCs/>
          <w:color w:val="FF0000"/>
          <w:sz w:val="22"/>
        </w:rPr>
      </w:pPr>
    </w:p>
    <w:p w14:paraId="208F1661" w14:textId="7593B937" w:rsidR="007E49CA" w:rsidRDefault="007E49CA">
      <w:pPr>
        <w:spacing w:after="160" w:line="259" w:lineRule="auto"/>
        <w:rPr>
          <w:i/>
          <w:iCs/>
          <w:color w:val="FF0000"/>
          <w:sz w:val="22"/>
        </w:rPr>
      </w:pPr>
      <w:r>
        <w:rPr>
          <w:i/>
          <w:iCs/>
          <w:color w:val="FF0000"/>
          <w:sz w:val="22"/>
        </w:rPr>
        <w:br w:type="page"/>
      </w:r>
    </w:p>
    <w:p w14:paraId="5E01AD88" w14:textId="2D61A303" w:rsidR="005952B9" w:rsidRPr="00D556F8" w:rsidRDefault="002B35E5" w:rsidP="00D641AB">
      <w:pPr>
        <w:pStyle w:val="Prrafodelista"/>
        <w:numPr>
          <w:ilvl w:val="0"/>
          <w:numId w:val="62"/>
        </w:numPr>
        <w:ind w:left="567" w:hanging="425"/>
        <w:rPr>
          <w:b/>
          <w:color w:val="385623" w:themeColor="accent6" w:themeShade="80"/>
          <w:sz w:val="22"/>
        </w:rPr>
      </w:pPr>
      <w:r w:rsidRPr="00D556F8">
        <w:rPr>
          <w:b/>
          <w:color w:val="385623" w:themeColor="accent6" w:themeShade="80"/>
          <w:sz w:val="22"/>
        </w:rPr>
        <w:lastRenderedPageBreak/>
        <w:t>Comisión inmobiliaria</w:t>
      </w:r>
    </w:p>
    <w:p w14:paraId="1BE96EB4" w14:textId="708FC376" w:rsidR="002B35E5" w:rsidRDefault="002B35E5">
      <w:pPr>
        <w:rPr>
          <w:sz w:val="22"/>
        </w:rPr>
      </w:pPr>
    </w:p>
    <w:p w14:paraId="4A2D5ED2" w14:textId="0C1B48C6" w:rsidR="002B35E5" w:rsidRPr="002B35E5" w:rsidRDefault="002B35E5" w:rsidP="00043DFF">
      <w:pPr>
        <w:jc w:val="both"/>
        <w:rPr>
          <w:sz w:val="22"/>
          <w:szCs w:val="22"/>
        </w:rPr>
      </w:pPr>
      <w:r w:rsidRPr="002B35E5">
        <w:rPr>
          <w:sz w:val="22"/>
          <w:szCs w:val="22"/>
        </w:rPr>
        <w:t xml:space="preserve">De acuerdo con el acta 370 del Consejo Superior Universitario de marzo de 2018, la representante de las Directivas Académicas </w:t>
      </w:r>
      <w:r w:rsidR="00EE155C">
        <w:rPr>
          <w:sz w:val="22"/>
          <w:szCs w:val="22"/>
        </w:rPr>
        <w:t xml:space="preserve">e </w:t>
      </w:r>
      <w:r w:rsidR="008635C9">
        <w:rPr>
          <w:sz w:val="22"/>
          <w:szCs w:val="22"/>
        </w:rPr>
        <w:t xml:space="preserve">integrante de la </w:t>
      </w:r>
      <w:r w:rsidR="008635C9" w:rsidRPr="002B35E5">
        <w:rPr>
          <w:sz w:val="22"/>
          <w:szCs w:val="22"/>
        </w:rPr>
        <w:t xml:space="preserve">Comisión Inmobiliaria </w:t>
      </w:r>
      <w:r w:rsidRPr="002B35E5">
        <w:rPr>
          <w:sz w:val="22"/>
          <w:szCs w:val="22"/>
        </w:rPr>
        <w:t>present</w:t>
      </w:r>
      <w:r w:rsidR="008F0F44">
        <w:rPr>
          <w:sz w:val="22"/>
          <w:szCs w:val="22"/>
        </w:rPr>
        <w:t>ó</w:t>
      </w:r>
      <w:r w:rsidRPr="002B35E5">
        <w:rPr>
          <w:sz w:val="22"/>
          <w:szCs w:val="22"/>
        </w:rPr>
        <w:t xml:space="preserve"> el informe de la </w:t>
      </w:r>
      <w:r w:rsidR="008635C9">
        <w:rPr>
          <w:sz w:val="22"/>
          <w:szCs w:val="22"/>
        </w:rPr>
        <w:t>comisión, el cual, e</w:t>
      </w:r>
      <w:r w:rsidRPr="002B35E5">
        <w:rPr>
          <w:sz w:val="22"/>
          <w:szCs w:val="22"/>
        </w:rPr>
        <w:t>n relación con el proyecto del complejo de la Salud, recomendó la venta de predios luego de realizar un avalúo colegiado</w:t>
      </w:r>
      <w:r w:rsidR="008635C9">
        <w:rPr>
          <w:sz w:val="22"/>
          <w:szCs w:val="22"/>
        </w:rPr>
        <w:t>, así</w:t>
      </w:r>
      <w:r w:rsidRPr="002B35E5">
        <w:rPr>
          <w:sz w:val="22"/>
          <w:szCs w:val="22"/>
        </w:rPr>
        <w:t>:</w:t>
      </w:r>
    </w:p>
    <w:p w14:paraId="499B6E03" w14:textId="77777777" w:rsidR="002B35E5" w:rsidRPr="002B35E5" w:rsidRDefault="002B35E5" w:rsidP="002B35E5">
      <w:pPr>
        <w:pStyle w:val="Default"/>
        <w:jc w:val="both"/>
        <w:rPr>
          <w:rFonts w:ascii="Times New Roman" w:hAnsi="Times New Roman" w:cs="Times New Roman"/>
          <w:sz w:val="22"/>
          <w:szCs w:val="22"/>
        </w:rPr>
      </w:pPr>
    </w:p>
    <w:p w14:paraId="6AD84D1E" w14:textId="77777777" w:rsidR="002B35E5" w:rsidRPr="000420E0" w:rsidRDefault="002B35E5" w:rsidP="003E0C97">
      <w:pPr>
        <w:pStyle w:val="Default"/>
        <w:numPr>
          <w:ilvl w:val="0"/>
          <w:numId w:val="2"/>
        </w:numPr>
        <w:jc w:val="both"/>
        <w:rPr>
          <w:rFonts w:ascii="Times New Roman" w:hAnsi="Times New Roman" w:cs="Times New Roman"/>
          <w:i/>
          <w:color w:val="auto"/>
          <w:sz w:val="18"/>
          <w:szCs w:val="22"/>
        </w:rPr>
      </w:pPr>
      <w:r w:rsidRPr="000420E0">
        <w:rPr>
          <w:rFonts w:ascii="Times New Roman" w:hAnsi="Times New Roman" w:cs="Times New Roman"/>
          <w:i/>
          <w:color w:val="auto"/>
          <w:sz w:val="18"/>
          <w:szCs w:val="22"/>
        </w:rPr>
        <w:t>Bosques Gil J. Gil, (con previa contratación de un experto para realizar dicha venta o canje con el municipio de Medellín).</w:t>
      </w:r>
    </w:p>
    <w:p w14:paraId="0713648C" w14:textId="77777777" w:rsidR="002B35E5" w:rsidRPr="000420E0" w:rsidRDefault="002B35E5" w:rsidP="002B35E5">
      <w:pPr>
        <w:pStyle w:val="Default"/>
        <w:ind w:left="720"/>
        <w:jc w:val="both"/>
        <w:rPr>
          <w:rFonts w:ascii="Times New Roman" w:hAnsi="Times New Roman" w:cs="Times New Roman"/>
          <w:i/>
          <w:color w:val="auto"/>
          <w:sz w:val="18"/>
          <w:szCs w:val="22"/>
        </w:rPr>
      </w:pPr>
    </w:p>
    <w:p w14:paraId="0E051106" w14:textId="77777777" w:rsidR="002B35E5" w:rsidRPr="000420E0" w:rsidRDefault="002B35E5" w:rsidP="003E0C97">
      <w:pPr>
        <w:pStyle w:val="Default"/>
        <w:numPr>
          <w:ilvl w:val="0"/>
          <w:numId w:val="2"/>
        </w:numPr>
        <w:jc w:val="both"/>
        <w:rPr>
          <w:rFonts w:ascii="Times New Roman" w:hAnsi="Times New Roman" w:cs="Times New Roman"/>
          <w:i/>
          <w:color w:val="auto"/>
          <w:sz w:val="18"/>
          <w:szCs w:val="22"/>
        </w:rPr>
      </w:pPr>
      <w:r w:rsidRPr="000420E0">
        <w:rPr>
          <w:rFonts w:ascii="Times New Roman" w:hAnsi="Times New Roman" w:cs="Times New Roman"/>
          <w:i/>
          <w:color w:val="auto"/>
          <w:sz w:val="18"/>
          <w:szCs w:val="22"/>
        </w:rPr>
        <w:t>La Hacienda El Progreso (primera opción al Ferrocarril de Antioquia mediante carta de intención, una vez se resuelva el traslado de la Facultad de Ciencias Agrarias para la Seccional del Oriente Antioqueño).</w:t>
      </w:r>
    </w:p>
    <w:p w14:paraId="736AD590" w14:textId="77777777" w:rsidR="002B35E5" w:rsidRPr="000420E0" w:rsidRDefault="002B35E5" w:rsidP="002B35E5">
      <w:pPr>
        <w:pStyle w:val="Prrafodelista"/>
        <w:jc w:val="both"/>
        <w:rPr>
          <w:i/>
          <w:sz w:val="18"/>
          <w:szCs w:val="22"/>
        </w:rPr>
      </w:pPr>
    </w:p>
    <w:p w14:paraId="648FF2F7" w14:textId="77777777" w:rsidR="002B35E5" w:rsidRPr="000420E0" w:rsidRDefault="002B35E5" w:rsidP="003E0C97">
      <w:pPr>
        <w:pStyle w:val="Default"/>
        <w:numPr>
          <w:ilvl w:val="0"/>
          <w:numId w:val="2"/>
        </w:numPr>
        <w:jc w:val="both"/>
        <w:rPr>
          <w:rFonts w:ascii="Times New Roman" w:hAnsi="Times New Roman" w:cs="Times New Roman"/>
          <w:i/>
          <w:color w:val="auto"/>
          <w:sz w:val="18"/>
          <w:szCs w:val="22"/>
        </w:rPr>
      </w:pPr>
      <w:r w:rsidRPr="000420E0">
        <w:rPr>
          <w:rFonts w:ascii="Times New Roman" w:hAnsi="Times New Roman" w:cs="Times New Roman"/>
          <w:i/>
          <w:color w:val="auto"/>
          <w:sz w:val="18"/>
          <w:szCs w:val="22"/>
        </w:rPr>
        <w:t>La Reforestadora San Sebastián (una vez se resuelva su liquidación)</w:t>
      </w:r>
    </w:p>
    <w:p w14:paraId="0168DF1A" w14:textId="77777777" w:rsidR="002B35E5" w:rsidRPr="000420E0" w:rsidRDefault="002B35E5" w:rsidP="002B35E5">
      <w:pPr>
        <w:pStyle w:val="Prrafodelista"/>
        <w:jc w:val="both"/>
        <w:rPr>
          <w:i/>
          <w:sz w:val="18"/>
          <w:szCs w:val="22"/>
        </w:rPr>
      </w:pPr>
    </w:p>
    <w:p w14:paraId="2F43951B" w14:textId="77777777" w:rsidR="002B35E5" w:rsidRPr="000420E0" w:rsidRDefault="002B35E5" w:rsidP="003E0C97">
      <w:pPr>
        <w:pStyle w:val="Default"/>
        <w:numPr>
          <w:ilvl w:val="0"/>
          <w:numId w:val="2"/>
        </w:numPr>
        <w:jc w:val="both"/>
        <w:rPr>
          <w:rFonts w:ascii="Times New Roman" w:hAnsi="Times New Roman" w:cs="Times New Roman"/>
          <w:i/>
          <w:color w:val="auto"/>
          <w:sz w:val="18"/>
          <w:szCs w:val="22"/>
        </w:rPr>
      </w:pPr>
      <w:r w:rsidRPr="000420E0">
        <w:rPr>
          <w:rFonts w:ascii="Times New Roman" w:hAnsi="Times New Roman" w:cs="Times New Roman"/>
          <w:i/>
          <w:color w:val="auto"/>
          <w:sz w:val="18"/>
          <w:szCs w:val="22"/>
        </w:rPr>
        <w:t>El Edificio Antioquia declarado como Patrimonio Cultural Inmueble de Medellín (Se recomienda que Sapiencia oficialice la intención de compra de la Propiedad a la Universidad de Antioquia).</w:t>
      </w:r>
    </w:p>
    <w:p w14:paraId="4EBBEA2D" w14:textId="77777777" w:rsidR="002B35E5" w:rsidRPr="000420E0" w:rsidRDefault="002B35E5" w:rsidP="002B35E5">
      <w:pPr>
        <w:pStyle w:val="Prrafodelista"/>
        <w:rPr>
          <w:i/>
          <w:sz w:val="18"/>
          <w:szCs w:val="22"/>
        </w:rPr>
      </w:pPr>
    </w:p>
    <w:p w14:paraId="1A139CA0" w14:textId="77777777" w:rsidR="002B35E5" w:rsidRPr="000420E0" w:rsidRDefault="002B35E5" w:rsidP="003E0C97">
      <w:pPr>
        <w:pStyle w:val="Default"/>
        <w:numPr>
          <w:ilvl w:val="0"/>
          <w:numId w:val="2"/>
        </w:numPr>
        <w:jc w:val="both"/>
        <w:rPr>
          <w:rFonts w:ascii="Times New Roman" w:hAnsi="Times New Roman" w:cs="Times New Roman"/>
          <w:i/>
          <w:color w:val="auto"/>
          <w:sz w:val="18"/>
          <w:szCs w:val="22"/>
        </w:rPr>
      </w:pPr>
      <w:r w:rsidRPr="000420E0">
        <w:rPr>
          <w:rFonts w:ascii="Times New Roman" w:hAnsi="Times New Roman" w:cs="Times New Roman"/>
          <w:i/>
          <w:color w:val="auto"/>
          <w:sz w:val="18"/>
          <w:szCs w:val="22"/>
        </w:rPr>
        <w:t>El lote de la calle 65 # 55-60 (Parque del Emprendimiento) y la calle 65 # 55-60 (Bodega Transportes Sierra). Se recomienda establecer convenio con Ruta N y la EDU (actuales interesados en alianza con la Universidad) para desarrollo del lote como parte del distrito de Innovación. No se recomienda vender a un privado para desarrollo particular que no corresponda con la vocación del entorno. En principio solicitarles carta de intención para la alianza.</w:t>
      </w:r>
    </w:p>
    <w:p w14:paraId="7D6C60DE" w14:textId="77777777" w:rsidR="002B35E5" w:rsidRPr="000420E0" w:rsidRDefault="002B35E5" w:rsidP="002B35E5">
      <w:pPr>
        <w:pStyle w:val="Prrafodelista"/>
        <w:rPr>
          <w:i/>
          <w:sz w:val="18"/>
          <w:szCs w:val="22"/>
        </w:rPr>
      </w:pPr>
    </w:p>
    <w:p w14:paraId="41CD0E13" w14:textId="77777777" w:rsidR="002B35E5" w:rsidRPr="000420E0" w:rsidRDefault="002B35E5" w:rsidP="003E0C97">
      <w:pPr>
        <w:pStyle w:val="Default"/>
        <w:numPr>
          <w:ilvl w:val="0"/>
          <w:numId w:val="2"/>
        </w:numPr>
        <w:jc w:val="both"/>
        <w:rPr>
          <w:rFonts w:ascii="Times New Roman" w:hAnsi="Times New Roman" w:cs="Times New Roman"/>
          <w:i/>
          <w:color w:val="auto"/>
          <w:sz w:val="18"/>
          <w:szCs w:val="22"/>
        </w:rPr>
      </w:pPr>
      <w:r w:rsidRPr="000420E0">
        <w:rPr>
          <w:rFonts w:ascii="Times New Roman" w:hAnsi="Times New Roman" w:cs="Times New Roman"/>
          <w:i/>
          <w:color w:val="auto"/>
          <w:sz w:val="18"/>
          <w:szCs w:val="22"/>
        </w:rPr>
        <w:t>El lote ubicado en la carrera 42 Córdoba, presenta dos interesados la Corporación Universitaria Americana y el Instituto de Bellas Artes también se recomienda realizar un proceso de pública subasta.</w:t>
      </w:r>
    </w:p>
    <w:p w14:paraId="72A1B841" w14:textId="77777777" w:rsidR="002B35E5" w:rsidRPr="000420E0" w:rsidRDefault="002B35E5" w:rsidP="002B35E5">
      <w:pPr>
        <w:pStyle w:val="Prrafodelista"/>
        <w:rPr>
          <w:i/>
          <w:sz w:val="18"/>
          <w:szCs w:val="22"/>
        </w:rPr>
      </w:pPr>
    </w:p>
    <w:p w14:paraId="41268F26" w14:textId="255B3D77" w:rsidR="002B35E5" w:rsidRPr="000420E0" w:rsidRDefault="002B35E5" w:rsidP="003E0C97">
      <w:pPr>
        <w:pStyle w:val="Default"/>
        <w:numPr>
          <w:ilvl w:val="0"/>
          <w:numId w:val="2"/>
        </w:numPr>
        <w:jc w:val="both"/>
        <w:rPr>
          <w:rFonts w:ascii="Times New Roman" w:hAnsi="Times New Roman" w:cs="Times New Roman"/>
          <w:i/>
          <w:color w:val="auto"/>
          <w:sz w:val="18"/>
          <w:szCs w:val="22"/>
        </w:rPr>
      </w:pPr>
      <w:r w:rsidRPr="000420E0">
        <w:rPr>
          <w:rFonts w:ascii="Times New Roman" w:hAnsi="Times New Roman" w:cs="Times New Roman"/>
          <w:i/>
          <w:color w:val="auto"/>
          <w:sz w:val="18"/>
          <w:szCs w:val="22"/>
        </w:rPr>
        <w:t>El lote denominado Radio Faro localizado en el municipio de Arboletes, si la seccional de Urabá no lo necesitara para asuntos experimentales. (Existe oferta de un particular para el predio).</w:t>
      </w:r>
    </w:p>
    <w:p w14:paraId="2C78E6BA" w14:textId="77777777" w:rsidR="0035750B" w:rsidRDefault="0035750B" w:rsidP="000E4BC0">
      <w:pPr>
        <w:pStyle w:val="Prrafodelista"/>
        <w:rPr>
          <w:sz w:val="22"/>
          <w:szCs w:val="22"/>
        </w:rPr>
      </w:pPr>
    </w:p>
    <w:p w14:paraId="7F4E7041" w14:textId="56AF6D26" w:rsidR="002B35E5" w:rsidRPr="002B35E5" w:rsidRDefault="002B35E5" w:rsidP="002B35E5">
      <w:pPr>
        <w:jc w:val="both"/>
        <w:rPr>
          <w:sz w:val="22"/>
          <w:szCs w:val="22"/>
        </w:rPr>
      </w:pPr>
    </w:p>
    <w:p w14:paraId="7F356A71" w14:textId="4D28AD89" w:rsidR="002B35E5" w:rsidRPr="00F00B17" w:rsidRDefault="0097341A" w:rsidP="002B35E5">
      <w:pPr>
        <w:rPr>
          <w:b/>
          <w:color w:val="385623" w:themeColor="accent6" w:themeShade="80"/>
          <w:sz w:val="22"/>
          <w:szCs w:val="22"/>
          <w:u w:val="single"/>
        </w:rPr>
      </w:pPr>
      <w:r>
        <w:rPr>
          <w:b/>
          <w:color w:val="385623" w:themeColor="accent6" w:themeShade="80"/>
          <w:sz w:val="22"/>
          <w:szCs w:val="22"/>
          <w:u w:val="single"/>
        </w:rPr>
        <w:t>Observac</w:t>
      </w:r>
      <w:r w:rsidR="00690B1C">
        <w:rPr>
          <w:b/>
          <w:color w:val="385623" w:themeColor="accent6" w:themeShade="80"/>
          <w:sz w:val="22"/>
          <w:szCs w:val="22"/>
          <w:u w:val="single"/>
        </w:rPr>
        <w:t>ión</w:t>
      </w:r>
    </w:p>
    <w:p w14:paraId="3B8D2939" w14:textId="3A03DF8D" w:rsidR="00700D24" w:rsidRDefault="001D36EE" w:rsidP="00700D24">
      <w:pPr>
        <w:jc w:val="both"/>
        <w:rPr>
          <w:sz w:val="22"/>
          <w:szCs w:val="22"/>
        </w:rPr>
      </w:pPr>
      <w:r>
        <w:rPr>
          <w:sz w:val="22"/>
          <w:szCs w:val="22"/>
        </w:rPr>
        <w:t>El estudio de l</w:t>
      </w:r>
      <w:r w:rsidR="002B35E5" w:rsidRPr="00F00B17">
        <w:rPr>
          <w:sz w:val="22"/>
          <w:szCs w:val="22"/>
        </w:rPr>
        <w:t xml:space="preserve">a viabilidad financiera del proyecto, </w:t>
      </w:r>
      <w:r w:rsidRPr="00F00B17">
        <w:rPr>
          <w:sz w:val="22"/>
          <w:szCs w:val="22"/>
        </w:rPr>
        <w:t>consideró</w:t>
      </w:r>
      <w:r w:rsidR="002B35E5" w:rsidRPr="00F00B17">
        <w:rPr>
          <w:sz w:val="22"/>
          <w:szCs w:val="22"/>
        </w:rPr>
        <w:t xml:space="preserve"> la venta o realización de </w:t>
      </w:r>
      <w:r w:rsidR="000420E0">
        <w:rPr>
          <w:sz w:val="22"/>
          <w:szCs w:val="22"/>
        </w:rPr>
        <w:t>algunos</w:t>
      </w:r>
      <w:r w:rsidR="000420E0" w:rsidRPr="00F00B17">
        <w:rPr>
          <w:sz w:val="22"/>
          <w:szCs w:val="22"/>
        </w:rPr>
        <w:t xml:space="preserve"> </w:t>
      </w:r>
      <w:r w:rsidR="002B35E5" w:rsidRPr="00F00B17">
        <w:rPr>
          <w:sz w:val="22"/>
          <w:szCs w:val="22"/>
        </w:rPr>
        <w:t>inmuebles como fuente de recurso</w:t>
      </w:r>
      <w:r w:rsidR="008635C9">
        <w:rPr>
          <w:sz w:val="22"/>
          <w:szCs w:val="22"/>
        </w:rPr>
        <w:t>; s</w:t>
      </w:r>
      <w:r w:rsidR="002B35E5" w:rsidRPr="00F00B17">
        <w:rPr>
          <w:sz w:val="22"/>
          <w:szCs w:val="22"/>
        </w:rPr>
        <w:t xml:space="preserve">in embargo, se observa dentro de las recomendaciones dadas por la Comisión, la necesidad de acciones y gestiones con externos que deben iniciarse o decidir si proceden, para hacer visibles y cuantificables los recursos que </w:t>
      </w:r>
      <w:r w:rsidR="000420E0">
        <w:rPr>
          <w:sz w:val="22"/>
          <w:szCs w:val="22"/>
        </w:rPr>
        <w:t>constituirían</w:t>
      </w:r>
      <w:r w:rsidR="002B35E5" w:rsidRPr="00F00B17">
        <w:rPr>
          <w:sz w:val="22"/>
          <w:szCs w:val="22"/>
        </w:rPr>
        <w:t xml:space="preserve"> fuente de financiación del proyecto</w:t>
      </w:r>
      <w:r w:rsidR="00F00B17" w:rsidRPr="00F00B17">
        <w:rPr>
          <w:sz w:val="22"/>
          <w:szCs w:val="22"/>
        </w:rPr>
        <w:t xml:space="preserve"> en el corto plazo</w:t>
      </w:r>
      <w:r w:rsidR="002B35E5" w:rsidRPr="00F00B17">
        <w:rPr>
          <w:sz w:val="22"/>
          <w:szCs w:val="22"/>
        </w:rPr>
        <w:t>.</w:t>
      </w:r>
    </w:p>
    <w:p w14:paraId="4B956FD6" w14:textId="77777777" w:rsidR="00700D24" w:rsidRDefault="00700D24">
      <w:pPr>
        <w:rPr>
          <w:sz w:val="22"/>
        </w:rPr>
      </w:pPr>
    </w:p>
    <w:p w14:paraId="6F17377C" w14:textId="77777777" w:rsidR="00690B1C" w:rsidRDefault="00690B1C" w:rsidP="00690B1C">
      <w:pPr>
        <w:jc w:val="both"/>
        <w:rPr>
          <w:b/>
          <w:color w:val="385623" w:themeColor="accent6" w:themeShade="80"/>
          <w:sz w:val="22"/>
        </w:rPr>
      </w:pPr>
      <w:r>
        <w:rPr>
          <w:b/>
          <w:color w:val="385623" w:themeColor="accent6" w:themeShade="80"/>
          <w:sz w:val="22"/>
        </w:rPr>
        <w:t>Riesgo</w:t>
      </w:r>
    </w:p>
    <w:p w14:paraId="181A4E16" w14:textId="47C8D1EA" w:rsidR="00700D24" w:rsidRPr="000E4BC0" w:rsidRDefault="000420E0" w:rsidP="00690B1C">
      <w:pPr>
        <w:jc w:val="both"/>
        <w:rPr>
          <w:sz w:val="22"/>
          <w:szCs w:val="22"/>
        </w:rPr>
      </w:pPr>
      <w:r>
        <w:rPr>
          <w:sz w:val="22"/>
          <w:szCs w:val="22"/>
        </w:rPr>
        <w:t>I</w:t>
      </w:r>
      <w:r w:rsidR="00700D24" w:rsidRPr="002C1E0F">
        <w:rPr>
          <w:sz w:val="22"/>
          <w:szCs w:val="22"/>
        </w:rPr>
        <w:t xml:space="preserve">ncertidumbre </w:t>
      </w:r>
      <w:r w:rsidR="002C1E0F">
        <w:rPr>
          <w:sz w:val="22"/>
          <w:szCs w:val="22"/>
        </w:rPr>
        <w:t xml:space="preserve">en </w:t>
      </w:r>
      <w:r w:rsidR="002C1E0F" w:rsidRPr="002C1E0F">
        <w:rPr>
          <w:sz w:val="22"/>
          <w:szCs w:val="22"/>
        </w:rPr>
        <w:t xml:space="preserve">la venta de </w:t>
      </w:r>
      <w:r w:rsidR="008635C9">
        <w:rPr>
          <w:sz w:val="22"/>
          <w:szCs w:val="22"/>
        </w:rPr>
        <w:t>l</w:t>
      </w:r>
      <w:r w:rsidR="002C1E0F" w:rsidRPr="002C1E0F">
        <w:rPr>
          <w:sz w:val="22"/>
          <w:szCs w:val="22"/>
        </w:rPr>
        <w:t>os inmuebles</w:t>
      </w:r>
      <w:r w:rsidR="008635C9">
        <w:rPr>
          <w:sz w:val="22"/>
          <w:szCs w:val="22"/>
        </w:rPr>
        <w:t xml:space="preserve"> determinados</w:t>
      </w:r>
      <w:r>
        <w:rPr>
          <w:sz w:val="22"/>
          <w:szCs w:val="22"/>
        </w:rPr>
        <w:t xml:space="preserve">; lo cual </w:t>
      </w:r>
      <w:r w:rsidR="0097341A" w:rsidRPr="002C1E0F">
        <w:rPr>
          <w:sz w:val="22"/>
          <w:szCs w:val="22"/>
        </w:rPr>
        <w:t>puede aumentar</w:t>
      </w:r>
      <w:r w:rsidR="00700D24" w:rsidRPr="002C1E0F">
        <w:rPr>
          <w:sz w:val="22"/>
          <w:szCs w:val="22"/>
        </w:rPr>
        <w:t xml:space="preserve"> el riesgo de</w:t>
      </w:r>
      <w:r>
        <w:rPr>
          <w:sz w:val="22"/>
          <w:szCs w:val="22"/>
        </w:rPr>
        <w:t xml:space="preserve"> liquidez y </w:t>
      </w:r>
      <w:r w:rsidR="00700D24" w:rsidRPr="002C1E0F">
        <w:rPr>
          <w:sz w:val="22"/>
          <w:szCs w:val="22"/>
        </w:rPr>
        <w:t>financiamiento del proyecto</w:t>
      </w:r>
      <w:r w:rsidR="00700D24" w:rsidRPr="000E4BC0">
        <w:rPr>
          <w:sz w:val="22"/>
          <w:szCs w:val="22"/>
        </w:rPr>
        <w:t>.</w:t>
      </w:r>
    </w:p>
    <w:p w14:paraId="6CE40AB5" w14:textId="39DEE744" w:rsidR="00700D24" w:rsidRDefault="00700D24" w:rsidP="00690B1C">
      <w:pPr>
        <w:jc w:val="both"/>
        <w:rPr>
          <w:b/>
          <w:color w:val="385623" w:themeColor="accent6" w:themeShade="80"/>
          <w:sz w:val="22"/>
        </w:rPr>
      </w:pPr>
    </w:p>
    <w:p w14:paraId="099A0EFC" w14:textId="77777777" w:rsidR="00690B1C" w:rsidRDefault="00690B1C" w:rsidP="00690B1C">
      <w:pPr>
        <w:jc w:val="both"/>
        <w:rPr>
          <w:b/>
          <w:color w:val="385623" w:themeColor="accent6" w:themeShade="80"/>
          <w:sz w:val="22"/>
        </w:rPr>
      </w:pPr>
      <w:r>
        <w:rPr>
          <w:b/>
          <w:color w:val="385623" w:themeColor="accent6" w:themeShade="80"/>
          <w:sz w:val="22"/>
        </w:rPr>
        <w:t>Recomendación</w:t>
      </w:r>
    </w:p>
    <w:p w14:paraId="224896D2" w14:textId="153C4A4A" w:rsidR="00700D24" w:rsidRPr="000F3B1D" w:rsidRDefault="001D36EE" w:rsidP="00D641AB">
      <w:pPr>
        <w:pStyle w:val="Prrafodelista"/>
        <w:numPr>
          <w:ilvl w:val="0"/>
          <w:numId w:val="64"/>
        </w:numPr>
        <w:ind w:left="284" w:hanging="284"/>
        <w:jc w:val="both"/>
        <w:rPr>
          <w:sz w:val="22"/>
        </w:rPr>
      </w:pPr>
      <w:r w:rsidRPr="00D641AB">
        <w:rPr>
          <w:sz w:val="22"/>
        </w:rPr>
        <w:t xml:space="preserve">Revisar los cálculos de viabilidad del proyecto, de forma que </w:t>
      </w:r>
      <w:r w:rsidR="00700D24" w:rsidRPr="00D641AB">
        <w:rPr>
          <w:sz w:val="22"/>
        </w:rPr>
        <w:t>asegur</w:t>
      </w:r>
      <w:r w:rsidRPr="00D641AB">
        <w:rPr>
          <w:sz w:val="22"/>
        </w:rPr>
        <w:t>en</w:t>
      </w:r>
      <w:r w:rsidR="00700D24" w:rsidRPr="00D641AB">
        <w:rPr>
          <w:sz w:val="22"/>
        </w:rPr>
        <w:t xml:space="preserve"> la sostenibilidad económica y la financiación </w:t>
      </w:r>
      <w:r w:rsidR="008635C9" w:rsidRPr="00043DFF">
        <w:rPr>
          <w:sz w:val="22"/>
        </w:rPr>
        <w:t>asertiva</w:t>
      </w:r>
      <w:r w:rsidR="008635C9" w:rsidRPr="00D641AB">
        <w:rPr>
          <w:sz w:val="22"/>
        </w:rPr>
        <w:t xml:space="preserve"> </w:t>
      </w:r>
      <w:r w:rsidR="00700D24" w:rsidRPr="00D641AB">
        <w:rPr>
          <w:sz w:val="22"/>
        </w:rPr>
        <w:t xml:space="preserve">del proyecto con </w:t>
      </w:r>
      <w:r w:rsidR="00700D24" w:rsidRPr="000F3B1D">
        <w:rPr>
          <w:sz w:val="22"/>
        </w:rPr>
        <w:t xml:space="preserve">recursos reales en corto plazo.  </w:t>
      </w:r>
    </w:p>
    <w:p w14:paraId="4EB7A137" w14:textId="77777777" w:rsidR="00AE1442" w:rsidRPr="000F3B1D" w:rsidRDefault="00AE1442" w:rsidP="00A313C3">
      <w:pPr>
        <w:rPr>
          <w:sz w:val="22"/>
        </w:rPr>
      </w:pPr>
    </w:p>
    <w:p w14:paraId="188D3A02" w14:textId="60934D01" w:rsidR="00BE5675" w:rsidRPr="00043DFF" w:rsidRDefault="0097341A" w:rsidP="00D641AB">
      <w:pPr>
        <w:pStyle w:val="Prrafodelista"/>
        <w:numPr>
          <w:ilvl w:val="0"/>
          <w:numId w:val="64"/>
        </w:numPr>
        <w:ind w:left="284" w:hanging="284"/>
        <w:jc w:val="both"/>
        <w:rPr>
          <w:sz w:val="22"/>
        </w:rPr>
      </w:pPr>
      <w:r w:rsidRPr="00043DFF">
        <w:rPr>
          <w:sz w:val="22"/>
        </w:rPr>
        <w:t xml:space="preserve">Para el caso de la venta y compraventa de activos fijos inmuebles, es importante analizar la realidad económica y facilidad de venta de </w:t>
      </w:r>
      <w:r w:rsidR="008635C9" w:rsidRPr="00043DFF">
        <w:rPr>
          <w:sz w:val="22"/>
        </w:rPr>
        <w:t>estos</w:t>
      </w:r>
      <w:r w:rsidRPr="00043DFF">
        <w:rPr>
          <w:sz w:val="22"/>
        </w:rPr>
        <w:t>.</w:t>
      </w:r>
    </w:p>
    <w:p w14:paraId="2E933A47" w14:textId="77777777" w:rsidR="00BE5675" w:rsidRPr="00D641AB" w:rsidRDefault="00BE5675" w:rsidP="00D641AB">
      <w:pPr>
        <w:rPr>
          <w:sz w:val="22"/>
        </w:rPr>
      </w:pPr>
    </w:p>
    <w:p w14:paraId="3A5FBAE8" w14:textId="77777777" w:rsidR="00EB13F6" w:rsidRPr="00D641AB" w:rsidRDefault="00EB13F6" w:rsidP="0097341A">
      <w:pPr>
        <w:spacing w:after="160" w:line="259" w:lineRule="auto"/>
        <w:jc w:val="both"/>
        <w:rPr>
          <w:sz w:val="22"/>
          <w:szCs w:val="22"/>
        </w:rPr>
      </w:pPr>
      <w:r w:rsidRPr="00D641AB">
        <w:rPr>
          <w:sz w:val="22"/>
          <w:szCs w:val="22"/>
        </w:rPr>
        <w:t>Adicionalmente, se recomienda tener presente:</w:t>
      </w:r>
    </w:p>
    <w:p w14:paraId="2439749C" w14:textId="70772946" w:rsidR="001A6876" w:rsidRPr="00D641AB" w:rsidRDefault="0097341A" w:rsidP="00D641AB">
      <w:pPr>
        <w:pStyle w:val="Prrafodelista"/>
        <w:numPr>
          <w:ilvl w:val="0"/>
          <w:numId w:val="65"/>
        </w:numPr>
        <w:spacing w:line="259" w:lineRule="auto"/>
        <w:jc w:val="both"/>
        <w:rPr>
          <w:sz w:val="22"/>
        </w:rPr>
      </w:pPr>
      <w:r w:rsidRPr="00D641AB">
        <w:rPr>
          <w:sz w:val="22"/>
        </w:rPr>
        <w:t>Para el caso de “canjes” de inmuebles, no se recomienda</w:t>
      </w:r>
      <w:r w:rsidR="001A6876" w:rsidRPr="001A6876">
        <w:rPr>
          <w:sz w:val="22"/>
        </w:rPr>
        <w:t xml:space="preserve"> </w:t>
      </w:r>
      <w:r w:rsidR="001A6876" w:rsidRPr="005C5250">
        <w:rPr>
          <w:sz w:val="22"/>
        </w:rPr>
        <w:t>esta opción</w:t>
      </w:r>
      <w:r w:rsidRPr="00D641AB">
        <w:rPr>
          <w:sz w:val="22"/>
        </w:rPr>
        <w:t>, pues se necesita</w:t>
      </w:r>
      <w:r w:rsidR="001A6876" w:rsidRPr="00D641AB">
        <w:rPr>
          <w:sz w:val="22"/>
        </w:rPr>
        <w:t>n</w:t>
      </w:r>
      <w:r w:rsidRPr="00D641AB">
        <w:rPr>
          <w:sz w:val="22"/>
        </w:rPr>
        <w:t xml:space="preserve"> recursos </w:t>
      </w:r>
      <w:r w:rsidR="001A6876" w:rsidRPr="00D641AB">
        <w:rPr>
          <w:sz w:val="22"/>
        </w:rPr>
        <w:t xml:space="preserve">líquidos </w:t>
      </w:r>
      <w:r w:rsidRPr="00D641AB">
        <w:rPr>
          <w:sz w:val="22"/>
        </w:rPr>
        <w:t xml:space="preserve">y no inmuebles.  </w:t>
      </w:r>
    </w:p>
    <w:p w14:paraId="3AAC328E" w14:textId="77777777" w:rsidR="001A6876" w:rsidRDefault="001A6876" w:rsidP="00EB13F6">
      <w:pPr>
        <w:spacing w:line="259" w:lineRule="auto"/>
        <w:jc w:val="both"/>
        <w:rPr>
          <w:sz w:val="22"/>
          <w:szCs w:val="22"/>
          <w:shd w:val="clear" w:color="auto" w:fill="FBE4D5" w:themeFill="accent2" w:themeFillTint="33"/>
        </w:rPr>
      </w:pPr>
    </w:p>
    <w:p w14:paraId="644F5BFB" w14:textId="3C192BAC" w:rsidR="001A6876" w:rsidRPr="00D641AB" w:rsidRDefault="001A6876" w:rsidP="00D641AB">
      <w:pPr>
        <w:pStyle w:val="Prrafodelista"/>
        <w:numPr>
          <w:ilvl w:val="0"/>
          <w:numId w:val="65"/>
        </w:numPr>
        <w:spacing w:line="259" w:lineRule="auto"/>
        <w:jc w:val="both"/>
        <w:rPr>
          <w:sz w:val="22"/>
        </w:rPr>
      </w:pPr>
      <w:r>
        <w:rPr>
          <w:sz w:val="22"/>
        </w:rPr>
        <w:t>T</w:t>
      </w:r>
      <w:r w:rsidR="0097341A" w:rsidRPr="00D641AB">
        <w:rPr>
          <w:sz w:val="22"/>
        </w:rPr>
        <w:t xml:space="preserve">ener claridad de cuáles entidades </w:t>
      </w:r>
      <w:r>
        <w:rPr>
          <w:sz w:val="22"/>
        </w:rPr>
        <w:t>públicas</w:t>
      </w:r>
      <w:r w:rsidRPr="00D641AB">
        <w:rPr>
          <w:sz w:val="22"/>
        </w:rPr>
        <w:t xml:space="preserve"> </w:t>
      </w:r>
      <w:r w:rsidR="0097341A" w:rsidRPr="00D641AB">
        <w:rPr>
          <w:sz w:val="22"/>
        </w:rPr>
        <w:t xml:space="preserve">tienen la capacidad </w:t>
      </w:r>
      <w:r>
        <w:rPr>
          <w:sz w:val="22"/>
        </w:rPr>
        <w:t>e</w:t>
      </w:r>
      <w:r w:rsidR="0097341A" w:rsidRPr="00D641AB">
        <w:rPr>
          <w:sz w:val="22"/>
        </w:rPr>
        <w:t xml:space="preserve"> intención de compra de predios en oferta.  </w:t>
      </w:r>
    </w:p>
    <w:p w14:paraId="15B14D35" w14:textId="0D928BE1" w:rsidR="001A6876" w:rsidRPr="00D641AB" w:rsidRDefault="0097341A" w:rsidP="00D641AB">
      <w:pPr>
        <w:pStyle w:val="Prrafodelista"/>
        <w:numPr>
          <w:ilvl w:val="0"/>
          <w:numId w:val="65"/>
        </w:numPr>
        <w:spacing w:line="259" w:lineRule="auto"/>
        <w:jc w:val="both"/>
        <w:rPr>
          <w:sz w:val="22"/>
        </w:rPr>
      </w:pPr>
      <w:r w:rsidRPr="00D641AB">
        <w:rPr>
          <w:sz w:val="22"/>
        </w:rPr>
        <w:lastRenderedPageBreak/>
        <w:t xml:space="preserve">Para el caso de lotes no saneados, </w:t>
      </w:r>
      <w:r w:rsidR="001A6876">
        <w:rPr>
          <w:sz w:val="22"/>
        </w:rPr>
        <w:t>se considera</w:t>
      </w:r>
      <w:r w:rsidR="00EE155C">
        <w:rPr>
          <w:sz w:val="22"/>
        </w:rPr>
        <w:t xml:space="preserve"> de</w:t>
      </w:r>
      <w:r w:rsidR="001A6876" w:rsidRPr="00D641AB">
        <w:rPr>
          <w:sz w:val="22"/>
        </w:rPr>
        <w:t xml:space="preserve"> </w:t>
      </w:r>
      <w:r w:rsidRPr="00D641AB">
        <w:rPr>
          <w:sz w:val="22"/>
        </w:rPr>
        <w:t xml:space="preserve">alto riesgo </w:t>
      </w:r>
      <w:r w:rsidR="001A6876">
        <w:rPr>
          <w:sz w:val="22"/>
        </w:rPr>
        <w:t>su</w:t>
      </w:r>
      <w:r w:rsidR="001A6876" w:rsidRPr="00D641AB">
        <w:rPr>
          <w:sz w:val="22"/>
        </w:rPr>
        <w:t xml:space="preserve"> </w:t>
      </w:r>
      <w:r w:rsidRPr="00D641AB">
        <w:rPr>
          <w:sz w:val="22"/>
        </w:rPr>
        <w:t xml:space="preserve">negociación, por lo cual se recomienda no </w:t>
      </w:r>
      <w:r w:rsidR="00D0202B">
        <w:rPr>
          <w:sz w:val="22"/>
        </w:rPr>
        <w:t>considerar</w:t>
      </w:r>
      <w:r w:rsidR="00EE155C">
        <w:rPr>
          <w:sz w:val="22"/>
        </w:rPr>
        <w:t xml:space="preserve"> esta opción,</w:t>
      </w:r>
      <w:r w:rsidRPr="00D641AB">
        <w:rPr>
          <w:sz w:val="22"/>
        </w:rPr>
        <w:t xml:space="preserve"> hasta que estén completamente </w:t>
      </w:r>
      <w:r w:rsidR="00EE155C">
        <w:rPr>
          <w:sz w:val="22"/>
        </w:rPr>
        <w:t>saneados</w:t>
      </w:r>
      <w:r w:rsidRPr="00D641AB">
        <w:rPr>
          <w:sz w:val="22"/>
        </w:rPr>
        <w:t xml:space="preserve">, como es el caso del lote de la Reforestadora San Sebastián. </w:t>
      </w:r>
    </w:p>
    <w:p w14:paraId="06250727" w14:textId="77777777" w:rsidR="009B1587" w:rsidRDefault="009B1587" w:rsidP="009B1587">
      <w:pPr>
        <w:ind w:left="360"/>
        <w:rPr>
          <w:b/>
          <w:color w:val="385623" w:themeColor="accent6" w:themeShade="80"/>
          <w:sz w:val="22"/>
        </w:rPr>
      </w:pPr>
    </w:p>
    <w:p w14:paraId="357308D5" w14:textId="6B99CB9C" w:rsidR="009B1587" w:rsidRPr="009B1587" w:rsidRDefault="009B1587" w:rsidP="009B1587">
      <w:pPr>
        <w:jc w:val="both"/>
        <w:rPr>
          <w:bCs/>
          <w:sz w:val="22"/>
          <w:szCs w:val="22"/>
        </w:rPr>
      </w:pPr>
      <w:r w:rsidRPr="009B1587">
        <w:rPr>
          <w:b/>
          <w:color w:val="385623" w:themeColor="accent6" w:themeShade="80"/>
          <w:sz w:val="22"/>
        </w:rPr>
        <w:t xml:space="preserve">Comentarios Administración </w:t>
      </w:r>
    </w:p>
    <w:p w14:paraId="192696E4" w14:textId="77777777" w:rsidR="009B1587" w:rsidRPr="009B1587" w:rsidRDefault="009B1587" w:rsidP="009B1587">
      <w:pPr>
        <w:spacing w:after="160" w:line="259" w:lineRule="auto"/>
        <w:jc w:val="both"/>
        <w:rPr>
          <w:bCs/>
          <w:sz w:val="22"/>
          <w:szCs w:val="22"/>
        </w:rPr>
      </w:pPr>
      <w:r w:rsidRPr="009B1587">
        <w:rPr>
          <w:bCs/>
          <w:sz w:val="22"/>
          <w:szCs w:val="22"/>
        </w:rPr>
        <w:t xml:space="preserve">De </w:t>
      </w:r>
      <w:r w:rsidRPr="009B1587">
        <w:rPr>
          <w:sz w:val="22"/>
          <w:szCs w:val="22"/>
        </w:rPr>
        <w:t>acuerdo</w:t>
      </w:r>
      <w:r w:rsidRPr="009B1587">
        <w:rPr>
          <w:bCs/>
          <w:sz w:val="22"/>
          <w:szCs w:val="22"/>
        </w:rPr>
        <w:t xml:space="preserve"> con la recomendación</w:t>
      </w:r>
    </w:p>
    <w:p w14:paraId="45EE3BB1" w14:textId="24C4A114" w:rsidR="00E974E4" w:rsidRDefault="00E974E4" w:rsidP="00D641AB">
      <w:pPr>
        <w:jc w:val="both"/>
        <w:rPr>
          <w:b/>
          <w:color w:val="385623" w:themeColor="accent6" w:themeShade="80"/>
          <w:sz w:val="22"/>
        </w:rPr>
      </w:pPr>
    </w:p>
    <w:p w14:paraId="7181EAC1" w14:textId="3DD9D894" w:rsidR="00832D30" w:rsidRPr="003305BD" w:rsidRDefault="003305BD" w:rsidP="003A7278">
      <w:pPr>
        <w:pStyle w:val="Ttulo2"/>
        <w:numPr>
          <w:ilvl w:val="1"/>
          <w:numId w:val="82"/>
        </w:numPr>
        <w:shd w:val="clear" w:color="auto" w:fill="E2EFD9" w:themeFill="accent6" w:themeFillTint="33"/>
        <w:ind w:left="567" w:hanging="567"/>
        <w:rPr>
          <w:rFonts w:ascii="Times New Roman" w:eastAsia="Calibri" w:hAnsi="Times New Roman" w:cs="Times New Roman"/>
          <w:b/>
          <w:color w:val="385623" w:themeColor="accent6" w:themeShade="80"/>
          <w:sz w:val="24"/>
        </w:rPr>
      </w:pPr>
      <w:bookmarkStart w:id="20" w:name="_Toc526516472"/>
      <w:r w:rsidRPr="0035702F">
        <w:rPr>
          <w:rFonts w:ascii="Times New Roman" w:eastAsia="Calibri" w:hAnsi="Times New Roman" w:cs="Times New Roman"/>
          <w:b/>
          <w:color w:val="385623" w:themeColor="accent6" w:themeShade="80"/>
          <w:sz w:val="24"/>
          <w:szCs w:val="24"/>
        </w:rPr>
        <w:t>Aspectos</w:t>
      </w:r>
      <w:r w:rsidRPr="003305BD">
        <w:rPr>
          <w:rFonts w:ascii="Times New Roman" w:eastAsia="Calibri" w:hAnsi="Times New Roman" w:cs="Times New Roman"/>
          <w:b/>
          <w:color w:val="385623" w:themeColor="accent6" w:themeShade="80"/>
          <w:sz w:val="24"/>
        </w:rPr>
        <w:t xml:space="preserve"> Técnicos</w:t>
      </w:r>
      <w:bookmarkEnd w:id="20"/>
    </w:p>
    <w:p w14:paraId="2017EB52" w14:textId="0F1478A0" w:rsidR="00832D30" w:rsidRPr="00ED67F7" w:rsidRDefault="00832D30" w:rsidP="00ED67F7">
      <w:pPr>
        <w:jc w:val="both"/>
        <w:rPr>
          <w:sz w:val="22"/>
          <w:szCs w:val="22"/>
        </w:rPr>
      </w:pPr>
    </w:p>
    <w:p w14:paraId="3CC56B20" w14:textId="3537C7F0" w:rsidR="00AA2B35" w:rsidRPr="00D641AB" w:rsidRDefault="00F435C9" w:rsidP="00D641AB">
      <w:pPr>
        <w:rPr>
          <w:rFonts w:eastAsia="Calibri"/>
          <w:b/>
          <w:color w:val="385623" w:themeColor="accent6" w:themeShade="80"/>
        </w:rPr>
      </w:pPr>
      <w:r w:rsidRPr="00D641AB">
        <w:rPr>
          <w:rFonts w:eastAsia="Calibri"/>
          <w:b/>
          <w:color w:val="385623" w:themeColor="accent6" w:themeShade="80"/>
        </w:rPr>
        <w:t>Contexto f</w:t>
      </w:r>
      <w:r w:rsidR="00AA2B35" w:rsidRPr="00D641AB">
        <w:rPr>
          <w:rFonts w:eastAsia="Calibri"/>
          <w:b/>
          <w:color w:val="385623" w:themeColor="accent6" w:themeShade="80"/>
        </w:rPr>
        <w:t>ase de diseños</w:t>
      </w:r>
    </w:p>
    <w:p w14:paraId="7CAB6C69" w14:textId="77777777" w:rsidR="00AA2B35" w:rsidRDefault="00AA2B35" w:rsidP="00AA2B35">
      <w:pPr>
        <w:pStyle w:val="Default"/>
        <w:jc w:val="both"/>
        <w:rPr>
          <w:rFonts w:ascii="Times New Roman" w:eastAsia="Times New Roman" w:hAnsi="Times New Roman" w:cs="Times New Roman"/>
          <w:color w:val="auto"/>
          <w:sz w:val="22"/>
          <w:lang w:eastAsia="es-CO"/>
        </w:rPr>
      </w:pPr>
    </w:p>
    <w:p w14:paraId="53737C4C" w14:textId="4A0CF959" w:rsidR="00AA2B35" w:rsidRPr="00D30002" w:rsidRDefault="004F0DB5" w:rsidP="00D30002">
      <w:pPr>
        <w:pStyle w:val="Default"/>
        <w:jc w:val="both"/>
        <w:rPr>
          <w:rFonts w:ascii="Times New Roman" w:eastAsia="Times New Roman" w:hAnsi="Times New Roman" w:cs="Times New Roman"/>
          <w:color w:val="auto"/>
          <w:sz w:val="22"/>
          <w:lang w:eastAsia="es-CO"/>
        </w:rPr>
      </w:pPr>
      <w:r w:rsidRPr="00D30002">
        <w:rPr>
          <w:rFonts w:ascii="Times New Roman" w:eastAsia="Times New Roman" w:hAnsi="Times New Roman" w:cs="Times New Roman"/>
          <w:color w:val="auto"/>
          <w:sz w:val="22"/>
          <w:lang w:eastAsia="es-CO"/>
        </w:rPr>
        <w:t>En el normal desarrollo de c</w:t>
      </w:r>
      <w:r w:rsidR="00765333">
        <w:rPr>
          <w:rFonts w:ascii="Times New Roman" w:eastAsia="Times New Roman" w:hAnsi="Times New Roman" w:cs="Times New Roman"/>
          <w:color w:val="auto"/>
          <w:sz w:val="22"/>
          <w:lang w:eastAsia="es-CO"/>
        </w:rPr>
        <w:t>recimiento físico y académico, l</w:t>
      </w:r>
      <w:r w:rsidRPr="00D30002">
        <w:rPr>
          <w:rFonts w:ascii="Times New Roman" w:eastAsia="Times New Roman" w:hAnsi="Times New Roman" w:cs="Times New Roman"/>
          <w:color w:val="auto"/>
          <w:sz w:val="22"/>
          <w:lang w:eastAsia="es-CO"/>
        </w:rPr>
        <w:t xml:space="preserve">a Universidad de Antioquia en cabeza de su Dirección de Logística e Infraestructura formuló el Plan Maestro de Planta Física, documento en el que se enmarca la consolidación de la protección y el crecimiento del campus universitario, incluidos sus procesos evolutivos. Tal como consta en la información técnica analizada y en el texto del informe espacial, en lo </w:t>
      </w:r>
      <w:r w:rsidR="002F163B">
        <w:rPr>
          <w:rFonts w:ascii="Times New Roman" w:eastAsia="Times New Roman" w:hAnsi="Times New Roman" w:cs="Times New Roman"/>
          <w:color w:val="auto"/>
          <w:sz w:val="22"/>
          <w:lang w:eastAsia="es-CO"/>
        </w:rPr>
        <w:t>relacionado con e</w:t>
      </w:r>
      <w:r w:rsidRPr="00D30002">
        <w:rPr>
          <w:rFonts w:ascii="Times New Roman" w:eastAsia="Times New Roman" w:hAnsi="Times New Roman" w:cs="Times New Roman"/>
          <w:color w:val="auto"/>
          <w:sz w:val="22"/>
          <w:lang w:eastAsia="es-CO"/>
        </w:rPr>
        <w:t xml:space="preserve">l área de la salud, tras más de seis décadas de construcción, surge la necesidad de conjugar en un solo escenario </w:t>
      </w:r>
      <w:r w:rsidR="00AA2B35" w:rsidRPr="00D30002">
        <w:rPr>
          <w:rFonts w:ascii="Times New Roman" w:eastAsia="Times New Roman" w:hAnsi="Times New Roman" w:cs="Times New Roman"/>
          <w:color w:val="auto"/>
          <w:sz w:val="22"/>
          <w:lang w:eastAsia="es-CO"/>
        </w:rPr>
        <w:t>los valores arquitectónicos, patrimoniales, ambientales y lo urbanístico en la intención de enfrentar el deterioro, la actualización y el crecimiento.</w:t>
      </w:r>
      <w:r w:rsidRPr="00D30002">
        <w:rPr>
          <w:rFonts w:ascii="Times New Roman" w:eastAsia="Times New Roman" w:hAnsi="Times New Roman" w:cs="Times New Roman"/>
          <w:color w:val="auto"/>
          <w:sz w:val="22"/>
          <w:lang w:eastAsia="es-CO"/>
        </w:rPr>
        <w:t xml:space="preserve">  El documento refiere como </w:t>
      </w:r>
      <w:r w:rsidR="00AA2B35" w:rsidRPr="00D30002">
        <w:rPr>
          <w:rFonts w:ascii="Times New Roman" w:eastAsia="Times New Roman" w:hAnsi="Times New Roman" w:cs="Times New Roman"/>
          <w:color w:val="auto"/>
          <w:sz w:val="22"/>
          <w:lang w:eastAsia="es-CO"/>
        </w:rPr>
        <w:t>interés de la Universidad</w:t>
      </w:r>
      <w:r w:rsidRPr="00D30002">
        <w:rPr>
          <w:rFonts w:ascii="Times New Roman" w:eastAsia="Times New Roman" w:hAnsi="Times New Roman" w:cs="Times New Roman"/>
          <w:color w:val="auto"/>
          <w:sz w:val="22"/>
          <w:lang w:eastAsia="es-CO"/>
        </w:rPr>
        <w:t xml:space="preserve"> el fortalecer es</w:t>
      </w:r>
      <w:r w:rsidR="00AA2B35" w:rsidRPr="00D30002">
        <w:rPr>
          <w:rFonts w:ascii="Times New Roman" w:eastAsia="Times New Roman" w:hAnsi="Times New Roman" w:cs="Times New Roman"/>
          <w:color w:val="auto"/>
          <w:sz w:val="22"/>
          <w:lang w:eastAsia="es-CO"/>
        </w:rPr>
        <w:t>e Plan Maestro, enmarcado en las dinámicas del Distrito de Innovación, oportunidad invaluable de hacer presencia planeada y en prospectiva, en aras de fortalecer el territorio y los instrumentos de Planeación.</w:t>
      </w:r>
    </w:p>
    <w:p w14:paraId="1074518B" w14:textId="77777777" w:rsidR="00AA2B35" w:rsidRPr="005D7FBA" w:rsidRDefault="00AA2B35" w:rsidP="00AA2B35">
      <w:pPr>
        <w:jc w:val="both"/>
        <w:rPr>
          <w:sz w:val="22"/>
          <w:szCs w:val="22"/>
          <w:highlight w:val="lightGray"/>
        </w:rPr>
      </w:pPr>
    </w:p>
    <w:p w14:paraId="03B760ED" w14:textId="1EAA62EB" w:rsidR="00F24F84" w:rsidRPr="00D30002" w:rsidRDefault="004F0DB5" w:rsidP="00D30002">
      <w:pPr>
        <w:pStyle w:val="Default"/>
        <w:jc w:val="both"/>
        <w:rPr>
          <w:rFonts w:ascii="Times New Roman" w:eastAsia="Times New Roman" w:hAnsi="Times New Roman" w:cs="Times New Roman"/>
          <w:color w:val="auto"/>
          <w:sz w:val="22"/>
          <w:lang w:eastAsia="es-CO"/>
        </w:rPr>
      </w:pPr>
      <w:r w:rsidRPr="00D30002">
        <w:rPr>
          <w:rFonts w:ascii="Times New Roman" w:eastAsia="Times New Roman" w:hAnsi="Times New Roman" w:cs="Times New Roman"/>
          <w:color w:val="auto"/>
          <w:sz w:val="22"/>
          <w:lang w:eastAsia="es-CO"/>
        </w:rPr>
        <w:t>Fue así como se propuso la construcción de un nuevo Complejo de la Salud, idea que se fortalece m</w:t>
      </w:r>
      <w:r w:rsidR="00F24F84" w:rsidRPr="00D30002">
        <w:rPr>
          <w:rFonts w:ascii="Times New Roman" w:eastAsia="Times New Roman" w:hAnsi="Times New Roman" w:cs="Times New Roman"/>
          <w:color w:val="auto"/>
          <w:sz w:val="22"/>
          <w:lang w:eastAsia="es-CO"/>
        </w:rPr>
        <w:t xml:space="preserve">ediante </w:t>
      </w:r>
      <w:r w:rsidRPr="00D30002">
        <w:rPr>
          <w:rFonts w:ascii="Times New Roman" w:eastAsia="Times New Roman" w:hAnsi="Times New Roman" w:cs="Times New Roman"/>
          <w:color w:val="auto"/>
          <w:sz w:val="22"/>
          <w:lang w:eastAsia="es-CO"/>
        </w:rPr>
        <w:t xml:space="preserve">la </w:t>
      </w:r>
      <w:r w:rsidR="00F24F84" w:rsidRPr="00D30002">
        <w:rPr>
          <w:rFonts w:ascii="Times New Roman" w:eastAsia="Times New Roman" w:hAnsi="Times New Roman" w:cs="Times New Roman"/>
          <w:color w:val="auto"/>
          <w:sz w:val="22"/>
          <w:lang w:eastAsia="es-CO"/>
        </w:rPr>
        <w:t>“</w:t>
      </w:r>
      <w:r w:rsidR="00F24F84" w:rsidRPr="00D30002">
        <w:rPr>
          <w:rFonts w:ascii="Times New Roman" w:eastAsia="Times New Roman" w:hAnsi="Times New Roman" w:cs="Times New Roman"/>
          <w:i/>
          <w:color w:val="auto"/>
          <w:sz w:val="22"/>
          <w:lang w:eastAsia="es-CO"/>
        </w:rPr>
        <w:t>Invitación para concurso del diseño a nivel de Pre-Anteproyecto arquitectónico y urbanístico del nuevo edificio Complejo de la Salud de la Universidad de Antioquia</w:t>
      </w:r>
      <w:r w:rsidR="00F24F84" w:rsidRPr="00D30002">
        <w:rPr>
          <w:rFonts w:ascii="Times New Roman" w:eastAsia="Times New Roman" w:hAnsi="Times New Roman" w:cs="Times New Roman"/>
          <w:color w:val="auto"/>
          <w:sz w:val="22"/>
          <w:lang w:eastAsia="es-CO"/>
        </w:rPr>
        <w:t>”</w:t>
      </w:r>
      <w:r w:rsidR="00AA2B35" w:rsidRPr="00D30002">
        <w:rPr>
          <w:rFonts w:ascii="Times New Roman" w:eastAsia="Times New Roman" w:hAnsi="Times New Roman" w:cs="Times New Roman"/>
          <w:color w:val="auto"/>
          <w:sz w:val="22"/>
          <w:lang w:eastAsia="es-CO"/>
        </w:rPr>
        <w:t xml:space="preserve">.  </w:t>
      </w:r>
      <w:r w:rsidR="00D30002" w:rsidRPr="00D30002">
        <w:rPr>
          <w:rFonts w:ascii="Times New Roman" w:eastAsia="Times New Roman" w:hAnsi="Times New Roman" w:cs="Times New Roman"/>
          <w:color w:val="auto"/>
          <w:sz w:val="22"/>
          <w:lang w:eastAsia="es-CO"/>
        </w:rPr>
        <w:t>En dicho concurso, e</w:t>
      </w:r>
      <w:r w:rsidR="00F24F84" w:rsidRPr="00D30002">
        <w:rPr>
          <w:rFonts w:ascii="Times New Roman" w:eastAsia="Times New Roman" w:hAnsi="Times New Roman" w:cs="Times New Roman"/>
          <w:color w:val="auto"/>
          <w:sz w:val="22"/>
          <w:lang w:eastAsia="es-CO"/>
        </w:rPr>
        <w:t xml:space="preserve">ntre el 15 y el 24 de noviembre de 2017, en las instalaciones de la Corporación Interuniversitarias de Servicios – CIS, los miembros del jurado del Concurso </w:t>
      </w:r>
      <w:r w:rsidR="00D30002" w:rsidRPr="00D30002">
        <w:rPr>
          <w:rFonts w:ascii="Times New Roman" w:eastAsia="Times New Roman" w:hAnsi="Times New Roman" w:cs="Times New Roman"/>
          <w:color w:val="auto"/>
          <w:sz w:val="22"/>
          <w:lang w:eastAsia="es-CO"/>
        </w:rPr>
        <w:t>deciden</w:t>
      </w:r>
      <w:r w:rsidR="00AA2B35" w:rsidRPr="00D30002">
        <w:rPr>
          <w:rFonts w:ascii="Times New Roman" w:eastAsia="Times New Roman" w:hAnsi="Times New Roman" w:cs="Times New Roman"/>
          <w:color w:val="auto"/>
          <w:sz w:val="22"/>
          <w:lang w:eastAsia="es-CO"/>
        </w:rPr>
        <w:t xml:space="preserve"> o</w:t>
      </w:r>
      <w:r w:rsidR="00F24F84" w:rsidRPr="00D30002">
        <w:rPr>
          <w:rFonts w:ascii="Times New Roman" w:eastAsia="Times New Roman" w:hAnsi="Times New Roman" w:cs="Times New Roman"/>
          <w:color w:val="auto"/>
          <w:sz w:val="22"/>
          <w:lang w:eastAsia="es-CO"/>
        </w:rPr>
        <w:t xml:space="preserve">torgar el </w:t>
      </w:r>
      <w:r w:rsidR="00D30002" w:rsidRPr="00D30002">
        <w:rPr>
          <w:rFonts w:ascii="Times New Roman" w:eastAsia="Times New Roman" w:hAnsi="Times New Roman" w:cs="Times New Roman"/>
          <w:color w:val="auto"/>
          <w:sz w:val="22"/>
          <w:lang w:eastAsia="es-CO"/>
        </w:rPr>
        <w:t xml:space="preserve">primer puesto </w:t>
      </w:r>
      <w:r w:rsidR="00F24F84" w:rsidRPr="00D30002">
        <w:rPr>
          <w:rFonts w:ascii="Times New Roman" w:eastAsia="Times New Roman" w:hAnsi="Times New Roman" w:cs="Times New Roman"/>
          <w:color w:val="auto"/>
          <w:sz w:val="22"/>
          <w:lang w:eastAsia="es-CO"/>
        </w:rPr>
        <w:t xml:space="preserve">al pre-anteproyecto arquitectónico identificado con el código CS 05, correspondiente a </w:t>
      </w:r>
      <w:r w:rsidR="00C966E5">
        <w:rPr>
          <w:rFonts w:ascii="Times New Roman" w:eastAsia="Times New Roman" w:hAnsi="Times New Roman" w:cs="Times New Roman"/>
          <w:color w:val="auto"/>
          <w:sz w:val="22"/>
          <w:lang w:eastAsia="es-CO"/>
        </w:rPr>
        <w:t>l</w:t>
      </w:r>
      <w:r w:rsidR="00C966E5" w:rsidRPr="00D30002">
        <w:rPr>
          <w:rFonts w:ascii="Times New Roman" w:eastAsia="Times New Roman" w:hAnsi="Times New Roman" w:cs="Times New Roman"/>
          <w:color w:val="auto"/>
          <w:sz w:val="22"/>
          <w:lang w:eastAsia="es-CO"/>
        </w:rPr>
        <w:t xml:space="preserve">a Unión Temporal </w:t>
      </w:r>
      <w:r w:rsidR="00F24F84" w:rsidRPr="00D30002">
        <w:rPr>
          <w:rFonts w:ascii="Times New Roman" w:eastAsia="Times New Roman" w:hAnsi="Times New Roman" w:cs="Times New Roman"/>
          <w:color w:val="auto"/>
          <w:sz w:val="22"/>
          <w:lang w:eastAsia="es-CO"/>
        </w:rPr>
        <w:t xml:space="preserve">SM + </w:t>
      </w:r>
      <w:r w:rsidR="00C966E5" w:rsidRPr="00D30002">
        <w:rPr>
          <w:rFonts w:ascii="Times New Roman" w:eastAsia="Times New Roman" w:hAnsi="Times New Roman" w:cs="Times New Roman"/>
          <w:color w:val="auto"/>
          <w:sz w:val="22"/>
          <w:lang w:eastAsia="es-CO"/>
        </w:rPr>
        <w:t xml:space="preserve">Síntesis </w:t>
      </w:r>
      <w:r w:rsidR="00F24F84" w:rsidRPr="00D30002">
        <w:rPr>
          <w:rFonts w:ascii="Times New Roman" w:eastAsia="Times New Roman" w:hAnsi="Times New Roman" w:cs="Times New Roman"/>
          <w:color w:val="auto"/>
          <w:sz w:val="22"/>
          <w:lang w:eastAsia="es-CO"/>
        </w:rPr>
        <w:t xml:space="preserve">conformada </w:t>
      </w:r>
      <w:r w:rsidR="00C966E5">
        <w:rPr>
          <w:rFonts w:ascii="Times New Roman" w:eastAsia="Times New Roman" w:hAnsi="Times New Roman" w:cs="Times New Roman"/>
          <w:color w:val="auto"/>
          <w:sz w:val="22"/>
          <w:lang w:eastAsia="es-CO"/>
        </w:rPr>
        <w:t>p</w:t>
      </w:r>
      <w:r w:rsidR="00C966E5" w:rsidRPr="00D30002">
        <w:rPr>
          <w:rFonts w:ascii="Times New Roman" w:eastAsia="Times New Roman" w:hAnsi="Times New Roman" w:cs="Times New Roman"/>
          <w:color w:val="auto"/>
          <w:sz w:val="22"/>
          <w:lang w:eastAsia="es-CO"/>
        </w:rPr>
        <w:t>or Sebastián Monsalve Gómez Y Farhid Alexander Maya Ramírez.</w:t>
      </w:r>
    </w:p>
    <w:p w14:paraId="2D0E1F25" w14:textId="77777777" w:rsidR="00F24F84" w:rsidRPr="00D30002" w:rsidRDefault="00F24F84" w:rsidP="00D30002">
      <w:pPr>
        <w:pStyle w:val="Default"/>
        <w:jc w:val="both"/>
        <w:rPr>
          <w:rFonts w:ascii="Times New Roman" w:eastAsia="Times New Roman" w:hAnsi="Times New Roman" w:cs="Times New Roman"/>
          <w:color w:val="auto"/>
          <w:sz w:val="22"/>
          <w:lang w:eastAsia="es-CO"/>
        </w:rPr>
      </w:pPr>
    </w:p>
    <w:p w14:paraId="1B94C201" w14:textId="409E71B8" w:rsidR="008D6A8F" w:rsidRPr="008D6A8F" w:rsidRDefault="008D6A8F" w:rsidP="00D30002">
      <w:pPr>
        <w:pStyle w:val="Default"/>
        <w:jc w:val="both"/>
        <w:rPr>
          <w:rFonts w:ascii="Times New Roman" w:eastAsia="Times New Roman" w:hAnsi="Times New Roman" w:cs="Times New Roman"/>
          <w:color w:val="auto"/>
          <w:sz w:val="22"/>
          <w:lang w:eastAsia="es-CO"/>
        </w:rPr>
      </w:pPr>
      <w:r w:rsidRPr="008D6A8F">
        <w:rPr>
          <w:rFonts w:ascii="Times New Roman" w:eastAsia="Times New Roman" w:hAnsi="Times New Roman" w:cs="Times New Roman"/>
          <w:color w:val="auto"/>
          <w:sz w:val="22"/>
          <w:lang w:eastAsia="es-CO"/>
        </w:rPr>
        <w:t xml:space="preserve">El Complejo de Salud </w:t>
      </w:r>
      <w:r w:rsidR="00C966E5" w:rsidRPr="008D6A8F">
        <w:rPr>
          <w:rFonts w:ascii="Times New Roman" w:eastAsia="Times New Roman" w:hAnsi="Times New Roman" w:cs="Times New Roman"/>
          <w:color w:val="auto"/>
          <w:sz w:val="22"/>
          <w:lang w:eastAsia="es-CO"/>
        </w:rPr>
        <w:t>albergar</w:t>
      </w:r>
      <w:r w:rsidR="00C966E5">
        <w:rPr>
          <w:rFonts w:ascii="Times New Roman" w:eastAsia="Times New Roman" w:hAnsi="Times New Roman" w:cs="Times New Roman"/>
          <w:color w:val="auto"/>
          <w:sz w:val="22"/>
          <w:lang w:eastAsia="es-CO"/>
        </w:rPr>
        <w:t xml:space="preserve">ía </w:t>
      </w:r>
      <w:r w:rsidRPr="008D6A8F">
        <w:rPr>
          <w:rFonts w:ascii="Times New Roman" w:eastAsia="Times New Roman" w:hAnsi="Times New Roman" w:cs="Times New Roman"/>
          <w:color w:val="auto"/>
          <w:sz w:val="22"/>
          <w:lang w:eastAsia="es-CO"/>
        </w:rPr>
        <w:t>unidades a</w:t>
      </w:r>
      <w:r w:rsidR="00AA2B35" w:rsidRPr="00D30002">
        <w:rPr>
          <w:rFonts w:ascii="Times New Roman" w:eastAsia="Times New Roman" w:hAnsi="Times New Roman" w:cs="Times New Roman"/>
          <w:color w:val="auto"/>
          <w:sz w:val="22"/>
          <w:lang w:eastAsia="es-CO"/>
        </w:rPr>
        <w:t xml:space="preserve">cadémicas del Área de la Salud, </w:t>
      </w:r>
      <w:r w:rsidR="00C966E5">
        <w:rPr>
          <w:rFonts w:ascii="Times New Roman" w:eastAsia="Times New Roman" w:hAnsi="Times New Roman" w:cs="Times New Roman"/>
          <w:color w:val="auto"/>
          <w:sz w:val="22"/>
          <w:lang w:eastAsia="es-CO"/>
        </w:rPr>
        <w:t>así:</w:t>
      </w:r>
      <w:r w:rsidRPr="008D6A8F">
        <w:rPr>
          <w:rFonts w:ascii="Times New Roman" w:eastAsia="Times New Roman" w:hAnsi="Times New Roman" w:cs="Times New Roman"/>
          <w:color w:val="auto"/>
          <w:sz w:val="22"/>
          <w:lang w:eastAsia="es-CO"/>
        </w:rPr>
        <w:t xml:space="preserve"> </w:t>
      </w:r>
    </w:p>
    <w:p w14:paraId="34E37389" w14:textId="77777777" w:rsidR="008D6A8F" w:rsidRPr="000420E0" w:rsidRDefault="008D6A8F" w:rsidP="000420E0">
      <w:pPr>
        <w:pStyle w:val="Default"/>
        <w:numPr>
          <w:ilvl w:val="0"/>
          <w:numId w:val="73"/>
        </w:numPr>
        <w:jc w:val="both"/>
        <w:rPr>
          <w:rFonts w:ascii="Times New Roman" w:eastAsia="Times New Roman" w:hAnsi="Times New Roman" w:cs="Times New Roman"/>
          <w:i/>
          <w:color w:val="auto"/>
          <w:sz w:val="18"/>
          <w:lang w:eastAsia="es-CO"/>
        </w:rPr>
      </w:pPr>
      <w:r w:rsidRPr="000420E0">
        <w:rPr>
          <w:rFonts w:ascii="Times New Roman" w:eastAsia="Times New Roman" w:hAnsi="Times New Roman" w:cs="Times New Roman"/>
          <w:i/>
          <w:color w:val="auto"/>
          <w:sz w:val="18"/>
          <w:lang w:eastAsia="es-CO"/>
        </w:rPr>
        <w:t xml:space="preserve">La Facultad de Odontología </w:t>
      </w:r>
    </w:p>
    <w:p w14:paraId="14D41A13" w14:textId="77777777" w:rsidR="008D6A8F" w:rsidRPr="000420E0" w:rsidRDefault="008D6A8F" w:rsidP="000420E0">
      <w:pPr>
        <w:pStyle w:val="Default"/>
        <w:numPr>
          <w:ilvl w:val="0"/>
          <w:numId w:val="73"/>
        </w:numPr>
        <w:jc w:val="both"/>
        <w:rPr>
          <w:rFonts w:ascii="Times New Roman" w:eastAsia="Times New Roman" w:hAnsi="Times New Roman" w:cs="Times New Roman"/>
          <w:i/>
          <w:color w:val="auto"/>
          <w:sz w:val="18"/>
          <w:lang w:eastAsia="es-CO"/>
        </w:rPr>
      </w:pPr>
      <w:r w:rsidRPr="000420E0">
        <w:rPr>
          <w:rFonts w:ascii="Times New Roman" w:eastAsia="Times New Roman" w:hAnsi="Times New Roman" w:cs="Times New Roman"/>
          <w:i/>
          <w:color w:val="auto"/>
          <w:sz w:val="18"/>
          <w:lang w:eastAsia="es-CO"/>
        </w:rPr>
        <w:t xml:space="preserve">La Facultad de Enfermería </w:t>
      </w:r>
    </w:p>
    <w:p w14:paraId="27F9136F" w14:textId="77777777" w:rsidR="008D6A8F" w:rsidRPr="000420E0" w:rsidRDefault="008D6A8F" w:rsidP="000420E0">
      <w:pPr>
        <w:pStyle w:val="Default"/>
        <w:numPr>
          <w:ilvl w:val="0"/>
          <w:numId w:val="73"/>
        </w:numPr>
        <w:jc w:val="both"/>
        <w:rPr>
          <w:rFonts w:ascii="Times New Roman" w:eastAsia="Times New Roman" w:hAnsi="Times New Roman" w:cs="Times New Roman"/>
          <w:i/>
          <w:color w:val="auto"/>
          <w:sz w:val="18"/>
          <w:lang w:eastAsia="es-CO"/>
        </w:rPr>
      </w:pPr>
      <w:r w:rsidRPr="000420E0">
        <w:rPr>
          <w:rFonts w:ascii="Times New Roman" w:eastAsia="Times New Roman" w:hAnsi="Times New Roman" w:cs="Times New Roman"/>
          <w:i/>
          <w:color w:val="auto"/>
          <w:sz w:val="18"/>
          <w:lang w:eastAsia="es-CO"/>
        </w:rPr>
        <w:t xml:space="preserve">La Facultad Nacional de Salud Pública </w:t>
      </w:r>
    </w:p>
    <w:p w14:paraId="196B5C92" w14:textId="77777777" w:rsidR="008D6A8F" w:rsidRPr="000420E0" w:rsidRDefault="008D6A8F" w:rsidP="000420E0">
      <w:pPr>
        <w:pStyle w:val="Default"/>
        <w:numPr>
          <w:ilvl w:val="0"/>
          <w:numId w:val="73"/>
        </w:numPr>
        <w:jc w:val="both"/>
        <w:rPr>
          <w:rFonts w:ascii="Times New Roman" w:eastAsia="Times New Roman" w:hAnsi="Times New Roman" w:cs="Times New Roman"/>
          <w:i/>
          <w:color w:val="auto"/>
          <w:sz w:val="18"/>
          <w:lang w:eastAsia="es-CO"/>
        </w:rPr>
      </w:pPr>
      <w:r w:rsidRPr="000420E0">
        <w:rPr>
          <w:rFonts w:ascii="Times New Roman" w:eastAsia="Times New Roman" w:hAnsi="Times New Roman" w:cs="Times New Roman"/>
          <w:i/>
          <w:color w:val="auto"/>
          <w:sz w:val="18"/>
          <w:lang w:eastAsia="es-CO"/>
        </w:rPr>
        <w:t xml:space="preserve">La Facultad de Ciencias Farmacéuticas y Alimentarias </w:t>
      </w:r>
    </w:p>
    <w:p w14:paraId="46CB1F4F" w14:textId="77777777" w:rsidR="008D6A8F" w:rsidRPr="000420E0" w:rsidRDefault="008D6A8F" w:rsidP="000420E0">
      <w:pPr>
        <w:pStyle w:val="Default"/>
        <w:numPr>
          <w:ilvl w:val="0"/>
          <w:numId w:val="73"/>
        </w:numPr>
        <w:jc w:val="both"/>
        <w:rPr>
          <w:rFonts w:ascii="Times New Roman" w:eastAsia="Times New Roman" w:hAnsi="Times New Roman" w:cs="Times New Roman"/>
          <w:i/>
          <w:color w:val="auto"/>
          <w:sz w:val="18"/>
          <w:lang w:eastAsia="es-CO"/>
        </w:rPr>
      </w:pPr>
      <w:r w:rsidRPr="000420E0">
        <w:rPr>
          <w:rFonts w:ascii="Times New Roman" w:eastAsia="Times New Roman" w:hAnsi="Times New Roman" w:cs="Times New Roman"/>
          <w:i/>
          <w:color w:val="auto"/>
          <w:sz w:val="18"/>
          <w:lang w:eastAsia="es-CO"/>
        </w:rPr>
        <w:t xml:space="preserve">La Escuela de Nutrición y Dietética </w:t>
      </w:r>
    </w:p>
    <w:p w14:paraId="797D0478" w14:textId="77777777" w:rsidR="008D6A8F" w:rsidRPr="000420E0" w:rsidRDefault="008D6A8F" w:rsidP="000420E0">
      <w:pPr>
        <w:pStyle w:val="Default"/>
        <w:numPr>
          <w:ilvl w:val="0"/>
          <w:numId w:val="73"/>
        </w:numPr>
        <w:jc w:val="both"/>
        <w:rPr>
          <w:rFonts w:ascii="Times New Roman" w:eastAsia="Times New Roman" w:hAnsi="Times New Roman" w:cs="Times New Roman"/>
          <w:i/>
          <w:color w:val="auto"/>
          <w:sz w:val="18"/>
          <w:lang w:eastAsia="es-CO"/>
        </w:rPr>
      </w:pPr>
      <w:r w:rsidRPr="000420E0">
        <w:rPr>
          <w:rFonts w:ascii="Times New Roman" w:eastAsia="Times New Roman" w:hAnsi="Times New Roman" w:cs="Times New Roman"/>
          <w:i/>
          <w:color w:val="auto"/>
          <w:sz w:val="18"/>
          <w:lang w:eastAsia="es-CO"/>
        </w:rPr>
        <w:t xml:space="preserve">La Escuela de Microbiología </w:t>
      </w:r>
    </w:p>
    <w:p w14:paraId="35ED7380" w14:textId="77777777" w:rsidR="008D6A8F" w:rsidRPr="00D30002" w:rsidRDefault="008D6A8F" w:rsidP="00D30002">
      <w:pPr>
        <w:pStyle w:val="Default"/>
        <w:jc w:val="both"/>
        <w:rPr>
          <w:rFonts w:ascii="Times New Roman" w:eastAsia="Times New Roman" w:hAnsi="Times New Roman" w:cs="Times New Roman"/>
          <w:color w:val="auto"/>
          <w:sz w:val="22"/>
          <w:lang w:eastAsia="es-CO"/>
        </w:rPr>
      </w:pPr>
    </w:p>
    <w:p w14:paraId="4C216994" w14:textId="77777777" w:rsidR="008D6A8F" w:rsidRPr="008D6A8F" w:rsidRDefault="008D6A8F" w:rsidP="00D30002">
      <w:pPr>
        <w:pStyle w:val="Default"/>
        <w:jc w:val="both"/>
        <w:rPr>
          <w:rFonts w:ascii="Times New Roman" w:eastAsia="Times New Roman" w:hAnsi="Times New Roman" w:cs="Times New Roman"/>
          <w:color w:val="auto"/>
          <w:sz w:val="22"/>
          <w:lang w:eastAsia="es-CO"/>
        </w:rPr>
      </w:pPr>
      <w:r w:rsidRPr="008D6A8F">
        <w:rPr>
          <w:rFonts w:ascii="Times New Roman" w:eastAsia="Times New Roman" w:hAnsi="Times New Roman" w:cs="Times New Roman"/>
          <w:color w:val="auto"/>
          <w:sz w:val="22"/>
          <w:lang w:eastAsia="es-CO"/>
        </w:rPr>
        <w:t xml:space="preserve">No tendrán presencia física en el Complejo más si en la integración de saberes </w:t>
      </w:r>
    </w:p>
    <w:p w14:paraId="38DC2184" w14:textId="77777777" w:rsidR="008D6A8F" w:rsidRPr="000420E0" w:rsidRDefault="008D6A8F" w:rsidP="000420E0">
      <w:pPr>
        <w:pStyle w:val="Default"/>
        <w:numPr>
          <w:ilvl w:val="0"/>
          <w:numId w:val="73"/>
        </w:numPr>
        <w:jc w:val="both"/>
        <w:rPr>
          <w:rFonts w:ascii="Times New Roman" w:eastAsia="Times New Roman" w:hAnsi="Times New Roman" w:cs="Times New Roman"/>
          <w:i/>
          <w:color w:val="auto"/>
          <w:sz w:val="18"/>
          <w:lang w:eastAsia="es-CO"/>
        </w:rPr>
      </w:pPr>
      <w:r w:rsidRPr="000420E0">
        <w:rPr>
          <w:rFonts w:ascii="Times New Roman" w:eastAsia="Times New Roman" w:hAnsi="Times New Roman" w:cs="Times New Roman"/>
          <w:i/>
          <w:color w:val="auto"/>
          <w:sz w:val="18"/>
          <w:lang w:eastAsia="es-CO"/>
        </w:rPr>
        <w:t xml:space="preserve">La Facultad de Medicina </w:t>
      </w:r>
    </w:p>
    <w:p w14:paraId="6FFE9B1E" w14:textId="77777777" w:rsidR="008D6A8F" w:rsidRPr="000420E0" w:rsidRDefault="008D6A8F" w:rsidP="000420E0">
      <w:pPr>
        <w:pStyle w:val="Default"/>
        <w:numPr>
          <w:ilvl w:val="0"/>
          <w:numId w:val="73"/>
        </w:numPr>
        <w:jc w:val="both"/>
        <w:rPr>
          <w:rFonts w:ascii="Times New Roman" w:eastAsia="Times New Roman" w:hAnsi="Times New Roman" w:cs="Times New Roman"/>
          <w:i/>
          <w:color w:val="auto"/>
          <w:sz w:val="18"/>
          <w:lang w:eastAsia="es-CO"/>
        </w:rPr>
      </w:pPr>
      <w:r w:rsidRPr="000420E0">
        <w:rPr>
          <w:rFonts w:ascii="Times New Roman" w:eastAsia="Times New Roman" w:hAnsi="Times New Roman" w:cs="Times New Roman"/>
          <w:i/>
          <w:color w:val="auto"/>
          <w:sz w:val="18"/>
          <w:lang w:eastAsia="es-CO"/>
        </w:rPr>
        <w:t xml:space="preserve">La Facultad de Ciencias Agrarias (programa de Medicina Veterinaria y Zootecnia) </w:t>
      </w:r>
    </w:p>
    <w:p w14:paraId="1591C9C2" w14:textId="77777777" w:rsidR="008D6A8F" w:rsidRPr="000420E0" w:rsidRDefault="008D6A8F" w:rsidP="000420E0">
      <w:pPr>
        <w:pStyle w:val="Default"/>
        <w:numPr>
          <w:ilvl w:val="0"/>
          <w:numId w:val="73"/>
        </w:numPr>
        <w:jc w:val="both"/>
        <w:rPr>
          <w:rFonts w:ascii="Times New Roman" w:eastAsia="Times New Roman" w:hAnsi="Times New Roman" w:cs="Times New Roman"/>
          <w:i/>
          <w:color w:val="auto"/>
          <w:sz w:val="18"/>
          <w:lang w:eastAsia="es-CO"/>
        </w:rPr>
      </w:pPr>
      <w:r w:rsidRPr="000420E0">
        <w:rPr>
          <w:rFonts w:ascii="Times New Roman" w:eastAsia="Times New Roman" w:hAnsi="Times New Roman" w:cs="Times New Roman"/>
          <w:i/>
          <w:color w:val="auto"/>
          <w:sz w:val="18"/>
          <w:lang w:eastAsia="es-CO"/>
        </w:rPr>
        <w:t xml:space="preserve">El Instituto de Educación Física y Deportes </w:t>
      </w:r>
    </w:p>
    <w:p w14:paraId="7174D03C" w14:textId="77777777" w:rsidR="008D6A8F" w:rsidRDefault="008D6A8F" w:rsidP="008D6A8F">
      <w:pPr>
        <w:jc w:val="both"/>
        <w:rPr>
          <w:sz w:val="22"/>
          <w:szCs w:val="22"/>
        </w:rPr>
      </w:pPr>
    </w:p>
    <w:p w14:paraId="441DFBB3" w14:textId="7D89C20E" w:rsidR="00ED67F7" w:rsidRPr="00D30002" w:rsidRDefault="00D30002" w:rsidP="00D30002">
      <w:pPr>
        <w:pStyle w:val="Default"/>
        <w:jc w:val="both"/>
        <w:rPr>
          <w:rFonts w:ascii="Times New Roman" w:eastAsia="Times New Roman" w:hAnsi="Times New Roman" w:cs="Times New Roman"/>
          <w:color w:val="auto"/>
          <w:sz w:val="22"/>
          <w:lang w:eastAsia="es-CO"/>
        </w:rPr>
      </w:pPr>
      <w:r w:rsidRPr="00D30002">
        <w:rPr>
          <w:rFonts w:ascii="Times New Roman" w:eastAsia="Times New Roman" w:hAnsi="Times New Roman" w:cs="Times New Roman"/>
          <w:color w:val="auto"/>
          <w:sz w:val="22"/>
          <w:lang w:eastAsia="es-CO"/>
        </w:rPr>
        <w:t>Por otro lado, en cuanto a la disponibilidad de lotes, d</w:t>
      </w:r>
      <w:r w:rsidR="008D6A8F" w:rsidRPr="00D30002">
        <w:rPr>
          <w:rFonts w:ascii="Times New Roman" w:eastAsia="Times New Roman" w:hAnsi="Times New Roman" w:cs="Times New Roman"/>
          <w:color w:val="auto"/>
          <w:sz w:val="22"/>
          <w:lang w:eastAsia="es-CO"/>
        </w:rPr>
        <w:t>espués de evaluar varias opciones de ubicación, se plante</w:t>
      </w:r>
      <w:r w:rsidR="000420E0">
        <w:rPr>
          <w:rFonts w:ascii="Times New Roman" w:eastAsia="Times New Roman" w:hAnsi="Times New Roman" w:cs="Times New Roman"/>
          <w:color w:val="auto"/>
          <w:sz w:val="22"/>
          <w:lang w:eastAsia="es-CO"/>
        </w:rPr>
        <w:t>ó</w:t>
      </w:r>
      <w:r w:rsidR="008D6A8F" w:rsidRPr="00D30002">
        <w:rPr>
          <w:rFonts w:ascii="Times New Roman" w:eastAsia="Times New Roman" w:hAnsi="Times New Roman" w:cs="Times New Roman"/>
          <w:color w:val="auto"/>
          <w:sz w:val="22"/>
          <w:lang w:eastAsia="es-CO"/>
        </w:rPr>
        <w:t xml:space="preserve"> como la mejor opción para el proyecto, ubicarse en los predios propiedad de la Universidad de Antioquia: Calle 70 # 52 – 09/41 y Carrera 52 # 68 - 05/07 en la ciudad de Medellín.</w:t>
      </w:r>
      <w:r w:rsidR="00AA2B35" w:rsidRPr="00D30002">
        <w:rPr>
          <w:rFonts w:ascii="Times New Roman" w:eastAsia="Times New Roman" w:hAnsi="Times New Roman" w:cs="Times New Roman"/>
          <w:color w:val="auto"/>
          <w:sz w:val="22"/>
          <w:lang w:eastAsia="es-CO"/>
        </w:rPr>
        <w:t xml:space="preserve">  E</w:t>
      </w:r>
      <w:r w:rsidR="008D6A8F" w:rsidRPr="00D30002">
        <w:rPr>
          <w:rFonts w:ascii="Times New Roman" w:eastAsia="Times New Roman" w:hAnsi="Times New Roman" w:cs="Times New Roman"/>
          <w:color w:val="auto"/>
          <w:sz w:val="22"/>
          <w:lang w:eastAsia="es-CO"/>
        </w:rPr>
        <w:t>n un lote de 7.485 m2</w:t>
      </w:r>
      <w:r w:rsidR="00AA2B35" w:rsidRPr="00D30002">
        <w:rPr>
          <w:rFonts w:ascii="Times New Roman" w:eastAsia="Times New Roman" w:hAnsi="Times New Roman" w:cs="Times New Roman"/>
          <w:color w:val="auto"/>
          <w:sz w:val="22"/>
          <w:lang w:eastAsia="es-CO"/>
        </w:rPr>
        <w:t xml:space="preserve">, donde </w:t>
      </w:r>
      <w:r w:rsidR="008D6A8F" w:rsidRPr="00D30002">
        <w:rPr>
          <w:rFonts w:ascii="Times New Roman" w:eastAsia="Times New Roman" w:hAnsi="Times New Roman" w:cs="Times New Roman"/>
          <w:color w:val="auto"/>
          <w:sz w:val="22"/>
          <w:lang w:eastAsia="es-CO"/>
        </w:rPr>
        <w:t>se pretenden construir 44,398,38 M2 + 6,747,00 (sótanos) + 3,600,00 (urbanismo)</w:t>
      </w:r>
      <w:r w:rsidR="00AA2B35" w:rsidRPr="00D30002">
        <w:rPr>
          <w:rFonts w:ascii="Times New Roman" w:eastAsia="Times New Roman" w:hAnsi="Times New Roman" w:cs="Times New Roman"/>
          <w:color w:val="auto"/>
          <w:sz w:val="22"/>
          <w:lang w:eastAsia="es-CO"/>
        </w:rPr>
        <w:t>.</w:t>
      </w:r>
    </w:p>
    <w:p w14:paraId="4EE0C148" w14:textId="77777777" w:rsidR="008D6A8F" w:rsidRDefault="008D6A8F" w:rsidP="00ED67F7">
      <w:pPr>
        <w:jc w:val="both"/>
        <w:rPr>
          <w:sz w:val="22"/>
          <w:szCs w:val="22"/>
        </w:rPr>
      </w:pPr>
    </w:p>
    <w:p w14:paraId="1D9093E3" w14:textId="1006E861" w:rsidR="000420E0" w:rsidRDefault="00D30002" w:rsidP="00D30002">
      <w:pPr>
        <w:pStyle w:val="Default"/>
        <w:jc w:val="both"/>
        <w:rPr>
          <w:rFonts w:ascii="Times New Roman" w:eastAsia="Times New Roman" w:hAnsi="Times New Roman" w:cs="Times New Roman"/>
          <w:color w:val="auto"/>
          <w:sz w:val="22"/>
          <w:lang w:eastAsia="es-CO"/>
        </w:rPr>
      </w:pPr>
      <w:r w:rsidRPr="00AA2B35">
        <w:rPr>
          <w:rFonts w:ascii="Times New Roman" w:eastAsia="Times New Roman" w:hAnsi="Times New Roman" w:cs="Times New Roman"/>
          <w:color w:val="auto"/>
          <w:sz w:val="22"/>
          <w:lang w:eastAsia="es-CO"/>
        </w:rPr>
        <w:t xml:space="preserve">Una vez los arquitectos entregaron el proyecto en el marco del Concurso Arquitectónico y Urbanístico se procedió a realizar la </w:t>
      </w:r>
      <w:r w:rsidR="000420E0">
        <w:rPr>
          <w:rFonts w:ascii="Times New Roman" w:eastAsia="Times New Roman" w:hAnsi="Times New Roman" w:cs="Times New Roman"/>
          <w:color w:val="auto"/>
          <w:sz w:val="22"/>
          <w:lang w:eastAsia="es-CO"/>
        </w:rPr>
        <w:t>s</w:t>
      </w:r>
      <w:r w:rsidRPr="00AA2B35">
        <w:rPr>
          <w:rFonts w:ascii="Times New Roman" w:eastAsia="Times New Roman" w:hAnsi="Times New Roman" w:cs="Times New Roman"/>
          <w:color w:val="auto"/>
          <w:sz w:val="22"/>
          <w:lang w:eastAsia="es-CO"/>
        </w:rPr>
        <w:t>ectorización, la cual se avaló por parte de la Universidad</w:t>
      </w:r>
      <w:r w:rsidR="000420E0">
        <w:rPr>
          <w:rFonts w:ascii="Times New Roman" w:eastAsia="Times New Roman" w:hAnsi="Times New Roman" w:cs="Times New Roman"/>
          <w:color w:val="auto"/>
          <w:sz w:val="22"/>
          <w:lang w:eastAsia="es-CO"/>
        </w:rPr>
        <w:t xml:space="preserve"> y</w:t>
      </w:r>
      <w:r w:rsidRPr="00AA2B35">
        <w:rPr>
          <w:rFonts w:ascii="Times New Roman" w:eastAsia="Times New Roman" w:hAnsi="Times New Roman" w:cs="Times New Roman"/>
          <w:color w:val="auto"/>
          <w:sz w:val="22"/>
          <w:lang w:eastAsia="es-CO"/>
        </w:rPr>
        <w:t xml:space="preserve"> se procedió a </w:t>
      </w:r>
      <w:r w:rsidRPr="00AA2B35">
        <w:rPr>
          <w:rFonts w:ascii="Times New Roman" w:eastAsia="Times New Roman" w:hAnsi="Times New Roman" w:cs="Times New Roman"/>
          <w:color w:val="auto"/>
          <w:sz w:val="22"/>
          <w:lang w:eastAsia="es-CO"/>
        </w:rPr>
        <w:lastRenderedPageBreak/>
        <w:t xml:space="preserve">ajustar el proyecto arquitectónico, con la información antes descrita, hasta llevar el proyecto en la etapa de Pre-anteproyecto a Anteproyecto. </w:t>
      </w:r>
      <w:r>
        <w:rPr>
          <w:rFonts w:ascii="Times New Roman" w:eastAsia="Times New Roman" w:hAnsi="Times New Roman" w:cs="Times New Roman"/>
          <w:color w:val="auto"/>
          <w:sz w:val="22"/>
          <w:lang w:eastAsia="es-CO"/>
        </w:rPr>
        <w:t xml:space="preserve"> </w:t>
      </w:r>
    </w:p>
    <w:p w14:paraId="7AFA9D28" w14:textId="77777777" w:rsidR="000420E0" w:rsidRDefault="000420E0" w:rsidP="00D30002">
      <w:pPr>
        <w:pStyle w:val="Default"/>
        <w:jc w:val="both"/>
        <w:rPr>
          <w:rFonts w:ascii="Times New Roman" w:eastAsia="Times New Roman" w:hAnsi="Times New Roman" w:cs="Times New Roman"/>
          <w:color w:val="auto"/>
          <w:sz w:val="22"/>
          <w:lang w:eastAsia="es-CO"/>
        </w:rPr>
      </w:pPr>
    </w:p>
    <w:p w14:paraId="66CA016E" w14:textId="46C8A538" w:rsidR="00D30002" w:rsidRDefault="00D30002" w:rsidP="00D30002">
      <w:pPr>
        <w:pStyle w:val="Default"/>
        <w:jc w:val="both"/>
        <w:rPr>
          <w:rFonts w:ascii="Times New Roman" w:eastAsia="Times New Roman" w:hAnsi="Times New Roman" w:cs="Times New Roman"/>
          <w:color w:val="auto"/>
          <w:sz w:val="22"/>
          <w:lang w:eastAsia="es-CO"/>
        </w:rPr>
      </w:pPr>
      <w:r w:rsidRPr="00D30002">
        <w:rPr>
          <w:rFonts w:ascii="Times New Roman" w:eastAsia="Times New Roman" w:hAnsi="Times New Roman" w:cs="Times New Roman"/>
          <w:color w:val="auto"/>
          <w:sz w:val="22"/>
          <w:lang w:eastAsia="es-CO"/>
        </w:rPr>
        <w:t xml:space="preserve">El Anteproyecto se entregó a la CIS </w:t>
      </w:r>
      <w:r w:rsidR="000420E0">
        <w:rPr>
          <w:rFonts w:ascii="Times New Roman" w:eastAsia="Times New Roman" w:hAnsi="Times New Roman" w:cs="Times New Roman"/>
          <w:color w:val="auto"/>
          <w:sz w:val="22"/>
          <w:lang w:eastAsia="es-CO"/>
        </w:rPr>
        <w:t>para administrar el proceso con</w:t>
      </w:r>
      <w:r w:rsidRPr="00D30002">
        <w:rPr>
          <w:rFonts w:ascii="Times New Roman" w:eastAsia="Times New Roman" w:hAnsi="Times New Roman" w:cs="Times New Roman"/>
          <w:color w:val="auto"/>
          <w:sz w:val="22"/>
          <w:lang w:eastAsia="es-CO"/>
        </w:rPr>
        <w:t xml:space="preserve"> la UT SM+Síntesis</w:t>
      </w:r>
      <w:r w:rsidR="000420E0">
        <w:rPr>
          <w:rFonts w:ascii="Times New Roman" w:eastAsia="Times New Roman" w:hAnsi="Times New Roman" w:cs="Times New Roman"/>
          <w:color w:val="auto"/>
          <w:sz w:val="22"/>
          <w:lang w:eastAsia="es-CO"/>
        </w:rPr>
        <w:t>,</w:t>
      </w:r>
      <w:r w:rsidRPr="00D30002">
        <w:rPr>
          <w:rFonts w:ascii="Times New Roman" w:eastAsia="Times New Roman" w:hAnsi="Times New Roman" w:cs="Times New Roman"/>
          <w:color w:val="auto"/>
          <w:sz w:val="22"/>
          <w:lang w:eastAsia="es-CO"/>
        </w:rPr>
        <w:t xml:space="preserve"> según oficio OF-CSUA-011-2018-05-22 fechado el 22 de mayo de 20</w:t>
      </w:r>
      <w:r>
        <w:rPr>
          <w:rFonts w:ascii="Times New Roman" w:eastAsia="Times New Roman" w:hAnsi="Times New Roman" w:cs="Times New Roman"/>
          <w:color w:val="auto"/>
          <w:sz w:val="22"/>
          <w:lang w:eastAsia="es-CO"/>
        </w:rPr>
        <w:t>18. (</w:t>
      </w:r>
      <w:r w:rsidR="00C966E5">
        <w:rPr>
          <w:rFonts w:ascii="Times New Roman" w:eastAsia="Times New Roman" w:hAnsi="Times New Roman" w:cs="Times New Roman"/>
          <w:color w:val="auto"/>
          <w:sz w:val="22"/>
          <w:lang w:eastAsia="es-CO"/>
        </w:rPr>
        <w:t>Ref</w:t>
      </w:r>
      <w:r>
        <w:rPr>
          <w:rFonts w:ascii="Times New Roman" w:eastAsia="Times New Roman" w:hAnsi="Times New Roman" w:cs="Times New Roman"/>
          <w:color w:val="auto"/>
          <w:sz w:val="22"/>
          <w:lang w:eastAsia="es-CO"/>
        </w:rPr>
        <w:t xml:space="preserve">.: </w:t>
      </w:r>
      <w:r w:rsidRPr="00D30002">
        <w:rPr>
          <w:rFonts w:ascii="Times New Roman" w:eastAsia="Times New Roman" w:hAnsi="Times New Roman" w:cs="Times New Roman"/>
          <w:i/>
          <w:color w:val="auto"/>
          <w:sz w:val="22"/>
          <w:lang w:eastAsia="es-CO"/>
        </w:rPr>
        <w:t>“Componente espacial proyecto Complejo de la Salud julio de 2018”</w:t>
      </w:r>
      <w:r>
        <w:rPr>
          <w:rFonts w:ascii="Times New Roman" w:eastAsia="Times New Roman" w:hAnsi="Times New Roman" w:cs="Times New Roman"/>
          <w:color w:val="auto"/>
          <w:sz w:val="22"/>
          <w:lang w:eastAsia="es-CO"/>
        </w:rPr>
        <w:t>)</w:t>
      </w:r>
      <w:r w:rsidR="003B0CB9">
        <w:rPr>
          <w:rFonts w:ascii="Times New Roman" w:eastAsia="Times New Roman" w:hAnsi="Times New Roman" w:cs="Times New Roman"/>
          <w:color w:val="auto"/>
          <w:sz w:val="22"/>
          <w:lang w:eastAsia="es-CO"/>
        </w:rPr>
        <w:t>.</w:t>
      </w:r>
    </w:p>
    <w:p w14:paraId="54BB7EE2" w14:textId="55B15554" w:rsidR="003B0CB9" w:rsidRDefault="003B0CB9" w:rsidP="00D30002">
      <w:pPr>
        <w:pStyle w:val="Default"/>
        <w:jc w:val="both"/>
        <w:rPr>
          <w:rFonts w:ascii="Times New Roman" w:eastAsia="Times New Roman" w:hAnsi="Times New Roman" w:cs="Times New Roman"/>
          <w:color w:val="auto"/>
          <w:sz w:val="22"/>
          <w:lang w:eastAsia="es-CO"/>
        </w:rPr>
      </w:pPr>
    </w:p>
    <w:p w14:paraId="44D01128" w14:textId="656C4C2B" w:rsidR="003B0CB9" w:rsidRPr="00C70410" w:rsidRDefault="003B0CB9" w:rsidP="003B0CB9">
      <w:pPr>
        <w:jc w:val="both"/>
        <w:rPr>
          <w:sz w:val="22"/>
        </w:rPr>
      </w:pPr>
      <w:r w:rsidRPr="00C70410">
        <w:rPr>
          <w:sz w:val="22"/>
        </w:rPr>
        <w:t xml:space="preserve">Se hicieron gestiones positivas ante el </w:t>
      </w:r>
      <w:r w:rsidR="00C966E5">
        <w:rPr>
          <w:sz w:val="22"/>
        </w:rPr>
        <w:t>M</w:t>
      </w:r>
      <w:r w:rsidR="00C966E5" w:rsidRPr="00C70410">
        <w:rPr>
          <w:sz w:val="22"/>
        </w:rPr>
        <w:t xml:space="preserve">inisterio </w:t>
      </w:r>
      <w:r w:rsidRPr="00C70410">
        <w:rPr>
          <w:sz w:val="22"/>
        </w:rPr>
        <w:t xml:space="preserve">de </w:t>
      </w:r>
      <w:r w:rsidR="00C966E5">
        <w:rPr>
          <w:sz w:val="22"/>
        </w:rPr>
        <w:t>C</w:t>
      </w:r>
      <w:r w:rsidR="00C966E5" w:rsidRPr="00C70410">
        <w:rPr>
          <w:sz w:val="22"/>
        </w:rPr>
        <w:t>ultura</w:t>
      </w:r>
      <w:r w:rsidRPr="00C70410">
        <w:rPr>
          <w:sz w:val="22"/>
        </w:rPr>
        <w:t xml:space="preserve">, ante el </w:t>
      </w:r>
      <w:r w:rsidR="00C966E5">
        <w:rPr>
          <w:sz w:val="22"/>
        </w:rPr>
        <w:t>D</w:t>
      </w:r>
      <w:r w:rsidR="00C966E5" w:rsidRPr="00C70410">
        <w:rPr>
          <w:sz w:val="22"/>
        </w:rPr>
        <w:t xml:space="preserve">istrito </w:t>
      </w:r>
      <w:r w:rsidRPr="00C70410">
        <w:rPr>
          <w:sz w:val="22"/>
        </w:rPr>
        <w:t xml:space="preserve">de </w:t>
      </w:r>
      <w:r w:rsidR="00C966E5">
        <w:rPr>
          <w:sz w:val="22"/>
        </w:rPr>
        <w:t>I</w:t>
      </w:r>
      <w:r w:rsidR="00C966E5" w:rsidRPr="00C70410">
        <w:rPr>
          <w:sz w:val="22"/>
        </w:rPr>
        <w:t>nnovación</w:t>
      </w:r>
      <w:r w:rsidRPr="00C70410">
        <w:rPr>
          <w:sz w:val="22"/>
        </w:rPr>
        <w:t xml:space="preserve">, donde también se </w:t>
      </w:r>
      <w:r w:rsidR="00C7206C" w:rsidRPr="00C70410">
        <w:rPr>
          <w:sz w:val="22"/>
        </w:rPr>
        <w:t>expid</w:t>
      </w:r>
      <w:r w:rsidR="00C7206C">
        <w:rPr>
          <w:sz w:val="22"/>
        </w:rPr>
        <w:t>ieron</w:t>
      </w:r>
      <w:r w:rsidR="00C7206C" w:rsidRPr="00C70410">
        <w:rPr>
          <w:sz w:val="22"/>
        </w:rPr>
        <w:t xml:space="preserve"> </w:t>
      </w:r>
      <w:r w:rsidRPr="00C70410">
        <w:rPr>
          <w:sz w:val="22"/>
        </w:rPr>
        <w:t xml:space="preserve">conceptos de favorabilidad, y </w:t>
      </w:r>
      <w:r w:rsidR="00C7206C">
        <w:rPr>
          <w:sz w:val="22"/>
        </w:rPr>
        <w:t xml:space="preserve">se obtuvo </w:t>
      </w:r>
      <w:r w:rsidRPr="00C70410">
        <w:rPr>
          <w:sz w:val="22"/>
        </w:rPr>
        <w:t>la inscripción eficaz ante el banco de proyectos.</w:t>
      </w:r>
    </w:p>
    <w:p w14:paraId="7D2EFE2C" w14:textId="77777777" w:rsidR="003B0CB9" w:rsidRPr="00C70410" w:rsidRDefault="003B0CB9" w:rsidP="003B0CB9">
      <w:pPr>
        <w:jc w:val="both"/>
        <w:rPr>
          <w:sz w:val="22"/>
        </w:rPr>
      </w:pPr>
    </w:p>
    <w:p w14:paraId="0ED9EB9A" w14:textId="1CE437D0" w:rsidR="003B0CB9" w:rsidRDefault="00C7206C" w:rsidP="003B0CB9">
      <w:pPr>
        <w:jc w:val="both"/>
        <w:rPr>
          <w:sz w:val="22"/>
        </w:rPr>
      </w:pPr>
      <w:r>
        <w:rPr>
          <w:sz w:val="22"/>
        </w:rPr>
        <w:t>Posteriormente, s</w:t>
      </w:r>
      <w:r w:rsidR="003B0CB9" w:rsidRPr="00C70410">
        <w:rPr>
          <w:sz w:val="22"/>
        </w:rPr>
        <w:t xml:space="preserve">e </w:t>
      </w:r>
      <w:r>
        <w:rPr>
          <w:sz w:val="22"/>
        </w:rPr>
        <w:t>realizó</w:t>
      </w:r>
      <w:r w:rsidRPr="00C70410">
        <w:rPr>
          <w:sz w:val="22"/>
        </w:rPr>
        <w:t xml:space="preserve"> </w:t>
      </w:r>
      <w:r w:rsidR="003B0CB9" w:rsidRPr="00C70410">
        <w:rPr>
          <w:sz w:val="22"/>
        </w:rPr>
        <w:t xml:space="preserve">una completa caracterización de los espacios requeridos para el proyecto, como laboratorios, áreas de almacenamiento, áreas de apoyo entre otros, áreas administrativas, área para el desarrollo de destrezas clínicas, otros escenarios entre ellos los escenarios simulados, y en especial el </w:t>
      </w:r>
      <w:r w:rsidR="003B0CB9" w:rsidRPr="00FA281C">
        <w:rPr>
          <w:sz w:val="22"/>
        </w:rPr>
        <w:t xml:space="preserve">CRAI-SALUD (Centro de Recursos para el </w:t>
      </w:r>
      <w:r w:rsidR="0080459B">
        <w:rPr>
          <w:sz w:val="22"/>
        </w:rPr>
        <w:t>Aprendizaje y la Investigación).</w:t>
      </w:r>
    </w:p>
    <w:p w14:paraId="47A3E155" w14:textId="77777777" w:rsidR="00081744" w:rsidRPr="00ED67F7" w:rsidRDefault="00081744" w:rsidP="00081744">
      <w:pPr>
        <w:jc w:val="both"/>
        <w:rPr>
          <w:sz w:val="22"/>
          <w:szCs w:val="22"/>
        </w:rPr>
      </w:pPr>
    </w:p>
    <w:p w14:paraId="75085AAF" w14:textId="0B45478E" w:rsidR="00081744" w:rsidRPr="00D843EE" w:rsidRDefault="00081744" w:rsidP="00081744">
      <w:pPr>
        <w:rPr>
          <w:b/>
          <w:color w:val="385623" w:themeColor="accent6" w:themeShade="80"/>
          <w:sz w:val="22"/>
          <w:szCs w:val="22"/>
        </w:rPr>
      </w:pPr>
      <w:r w:rsidRPr="00D843EE">
        <w:rPr>
          <w:b/>
          <w:color w:val="385623" w:themeColor="accent6" w:themeShade="80"/>
          <w:sz w:val="22"/>
          <w:szCs w:val="22"/>
        </w:rPr>
        <w:t xml:space="preserve">Aspectos positivos: </w:t>
      </w:r>
    </w:p>
    <w:p w14:paraId="5C8BDF7D" w14:textId="77777777" w:rsidR="00081744" w:rsidRPr="002F163B" w:rsidRDefault="00081744" w:rsidP="00081744">
      <w:pPr>
        <w:pStyle w:val="Default"/>
        <w:jc w:val="both"/>
        <w:rPr>
          <w:rFonts w:ascii="Times New Roman" w:eastAsia="Times New Roman" w:hAnsi="Times New Roman" w:cs="Times New Roman"/>
          <w:b/>
          <w:color w:val="385623" w:themeColor="accent6" w:themeShade="80"/>
          <w:sz w:val="22"/>
          <w:lang w:eastAsia="es-CO"/>
        </w:rPr>
      </w:pPr>
    </w:p>
    <w:p w14:paraId="12595AA7" w14:textId="7A3DDAC9" w:rsidR="00C7206C" w:rsidRDefault="00081744" w:rsidP="00D843EE">
      <w:pPr>
        <w:pStyle w:val="Default"/>
        <w:numPr>
          <w:ilvl w:val="0"/>
          <w:numId w:val="74"/>
        </w:numPr>
        <w:ind w:left="284" w:hanging="284"/>
        <w:jc w:val="both"/>
        <w:rPr>
          <w:rFonts w:ascii="Times New Roman" w:eastAsia="Times New Roman" w:hAnsi="Times New Roman" w:cs="Times New Roman"/>
          <w:color w:val="auto"/>
          <w:sz w:val="22"/>
          <w:lang w:eastAsia="es-CO"/>
        </w:rPr>
      </w:pPr>
      <w:r w:rsidRPr="002F163B">
        <w:rPr>
          <w:rFonts w:ascii="Times New Roman" w:eastAsia="Times New Roman" w:hAnsi="Times New Roman" w:cs="Times New Roman"/>
          <w:color w:val="auto"/>
          <w:sz w:val="22"/>
          <w:lang w:eastAsia="es-CO"/>
        </w:rPr>
        <w:t xml:space="preserve">El diagnóstico de las sedes </w:t>
      </w:r>
      <w:r w:rsidR="00C7206C" w:rsidRPr="002F163B">
        <w:rPr>
          <w:rFonts w:ascii="Times New Roman" w:eastAsia="Times New Roman" w:hAnsi="Times New Roman" w:cs="Times New Roman"/>
          <w:color w:val="auto"/>
          <w:sz w:val="22"/>
          <w:lang w:eastAsia="es-CO"/>
        </w:rPr>
        <w:t>existentes</w:t>
      </w:r>
      <w:r w:rsidRPr="002F163B">
        <w:rPr>
          <w:rFonts w:ascii="Times New Roman" w:eastAsia="Times New Roman" w:hAnsi="Times New Roman" w:cs="Times New Roman"/>
          <w:color w:val="auto"/>
          <w:sz w:val="22"/>
          <w:lang w:eastAsia="es-CO"/>
        </w:rPr>
        <w:t xml:space="preserve"> arroja como resultado una necesidad de reconstruir físicamente cada una de ellas.  </w:t>
      </w:r>
    </w:p>
    <w:p w14:paraId="7CD4B38A" w14:textId="77777777" w:rsidR="00C7206C" w:rsidRDefault="00C7206C" w:rsidP="00D843EE">
      <w:pPr>
        <w:pStyle w:val="Default"/>
        <w:ind w:left="284" w:hanging="284"/>
        <w:jc w:val="both"/>
        <w:rPr>
          <w:rFonts w:ascii="Times New Roman" w:eastAsia="Times New Roman" w:hAnsi="Times New Roman" w:cs="Times New Roman"/>
          <w:color w:val="auto"/>
          <w:sz w:val="22"/>
          <w:lang w:eastAsia="es-CO"/>
        </w:rPr>
      </w:pPr>
    </w:p>
    <w:p w14:paraId="1DF319AA" w14:textId="2E2281A7" w:rsidR="00081744" w:rsidRPr="002F163B" w:rsidRDefault="00081744" w:rsidP="00D843EE">
      <w:pPr>
        <w:pStyle w:val="Default"/>
        <w:numPr>
          <w:ilvl w:val="0"/>
          <w:numId w:val="74"/>
        </w:numPr>
        <w:ind w:left="284" w:hanging="284"/>
        <w:jc w:val="both"/>
        <w:rPr>
          <w:rFonts w:ascii="Times New Roman" w:eastAsia="Times New Roman" w:hAnsi="Times New Roman" w:cs="Times New Roman"/>
          <w:color w:val="auto"/>
          <w:sz w:val="22"/>
          <w:lang w:eastAsia="es-CO"/>
        </w:rPr>
      </w:pPr>
      <w:r w:rsidRPr="002F163B">
        <w:rPr>
          <w:rFonts w:ascii="Times New Roman" w:eastAsia="Times New Roman" w:hAnsi="Times New Roman" w:cs="Times New Roman"/>
          <w:color w:val="auto"/>
          <w:sz w:val="22"/>
          <w:lang w:eastAsia="es-CO"/>
        </w:rPr>
        <w:t xml:space="preserve">El avance de los estudios </w:t>
      </w:r>
      <w:r w:rsidR="00D7350E" w:rsidRPr="00D7350E">
        <w:rPr>
          <w:rFonts w:ascii="Times New Roman" w:eastAsia="Times New Roman" w:hAnsi="Times New Roman" w:cs="Times New Roman"/>
          <w:color w:val="auto"/>
          <w:sz w:val="22"/>
          <w:lang w:eastAsia="es-CO"/>
        </w:rPr>
        <w:t>proyecta</w:t>
      </w:r>
      <w:r w:rsidRPr="002F163B">
        <w:rPr>
          <w:rFonts w:ascii="Times New Roman" w:eastAsia="Times New Roman" w:hAnsi="Times New Roman" w:cs="Times New Roman"/>
          <w:color w:val="auto"/>
          <w:sz w:val="22"/>
          <w:lang w:eastAsia="es-CO"/>
        </w:rPr>
        <w:t xml:space="preserve"> excelentes resultados en la concepción arquitectónica desde la congregación efectiva para la prestación de servicios, eficiencia técnica y locativa, optimización del espacio, una proyección más eficiente de las áreas de la salud del proyecto, mayor control administrativo y un gran ahorro de recursos de funcionamiento.  </w:t>
      </w:r>
    </w:p>
    <w:p w14:paraId="3AD3847A" w14:textId="77777777" w:rsidR="00ED67F7" w:rsidRPr="002F163B" w:rsidRDefault="00ED67F7" w:rsidP="00ED67F7">
      <w:pPr>
        <w:jc w:val="both"/>
        <w:rPr>
          <w:sz w:val="22"/>
          <w:szCs w:val="22"/>
        </w:rPr>
      </w:pPr>
    </w:p>
    <w:p w14:paraId="53A3C166" w14:textId="77777777" w:rsidR="00D843EE" w:rsidRDefault="00D843EE" w:rsidP="00081744">
      <w:pPr>
        <w:pStyle w:val="Default"/>
        <w:jc w:val="both"/>
        <w:rPr>
          <w:rFonts w:ascii="Times New Roman" w:eastAsia="Times New Roman" w:hAnsi="Times New Roman" w:cs="Times New Roman"/>
          <w:color w:val="auto"/>
          <w:sz w:val="22"/>
          <w:lang w:eastAsia="es-CO"/>
        </w:rPr>
      </w:pPr>
      <w:r>
        <w:rPr>
          <w:rFonts w:ascii="Times New Roman" w:eastAsia="Times New Roman" w:hAnsi="Times New Roman" w:cs="Times New Roman"/>
          <w:color w:val="auto"/>
          <w:sz w:val="22"/>
          <w:lang w:eastAsia="es-CO"/>
        </w:rPr>
        <w:t>Finalmente:</w:t>
      </w:r>
    </w:p>
    <w:p w14:paraId="0A8928A1" w14:textId="0091BE8B" w:rsidR="00D843EE" w:rsidRDefault="00081744" w:rsidP="00F01B06">
      <w:pPr>
        <w:pStyle w:val="Default"/>
        <w:numPr>
          <w:ilvl w:val="0"/>
          <w:numId w:val="75"/>
        </w:numPr>
        <w:ind w:left="284" w:hanging="284"/>
        <w:jc w:val="both"/>
        <w:rPr>
          <w:rFonts w:ascii="Times New Roman" w:eastAsia="Times New Roman" w:hAnsi="Times New Roman" w:cs="Times New Roman"/>
          <w:color w:val="auto"/>
          <w:sz w:val="22"/>
          <w:lang w:eastAsia="es-CO"/>
        </w:rPr>
      </w:pPr>
      <w:r w:rsidRPr="002F163B">
        <w:rPr>
          <w:rFonts w:ascii="Times New Roman" w:eastAsia="Times New Roman" w:hAnsi="Times New Roman" w:cs="Times New Roman"/>
          <w:color w:val="auto"/>
          <w:sz w:val="22"/>
          <w:lang w:eastAsia="es-CO"/>
        </w:rPr>
        <w:t xml:space="preserve">En la revisión de la documentación técnica se encuentra que para la fase de diseño que se surte, ya hay suficientes estudios previos, aunque hayan agotado su fase en el diagnóstico de los mismos diseños.  </w:t>
      </w:r>
    </w:p>
    <w:p w14:paraId="3B629DF9" w14:textId="77777777" w:rsidR="00D843EE" w:rsidRDefault="00D843EE" w:rsidP="00F01B06">
      <w:pPr>
        <w:pStyle w:val="Default"/>
        <w:ind w:left="284" w:hanging="284"/>
        <w:jc w:val="both"/>
        <w:rPr>
          <w:rFonts w:ascii="Times New Roman" w:eastAsia="Times New Roman" w:hAnsi="Times New Roman" w:cs="Times New Roman"/>
          <w:color w:val="auto"/>
          <w:sz w:val="22"/>
          <w:lang w:eastAsia="es-CO"/>
        </w:rPr>
      </w:pPr>
    </w:p>
    <w:p w14:paraId="19C2826E" w14:textId="77777777" w:rsidR="00D843EE" w:rsidRDefault="00081744" w:rsidP="00D843EE">
      <w:pPr>
        <w:pStyle w:val="Default"/>
        <w:numPr>
          <w:ilvl w:val="0"/>
          <w:numId w:val="75"/>
        </w:numPr>
        <w:ind w:left="284" w:hanging="284"/>
        <w:jc w:val="both"/>
        <w:rPr>
          <w:rFonts w:ascii="Times New Roman" w:eastAsia="Times New Roman" w:hAnsi="Times New Roman" w:cs="Times New Roman"/>
          <w:color w:val="auto"/>
          <w:sz w:val="22"/>
          <w:lang w:eastAsia="es-CO"/>
        </w:rPr>
      </w:pPr>
      <w:r w:rsidRPr="002F163B">
        <w:rPr>
          <w:rFonts w:ascii="Times New Roman" w:eastAsia="Times New Roman" w:hAnsi="Times New Roman" w:cs="Times New Roman"/>
          <w:color w:val="auto"/>
          <w:sz w:val="22"/>
          <w:lang w:eastAsia="es-CO"/>
        </w:rPr>
        <w:t>El proyecto se encuentra bien concebido, analizado y radicado en el banco de proyectos BUPP.</w:t>
      </w:r>
    </w:p>
    <w:p w14:paraId="5612872F" w14:textId="77777777" w:rsidR="00D843EE" w:rsidRDefault="00D843EE" w:rsidP="00F01B06">
      <w:pPr>
        <w:pStyle w:val="Prrafodelista"/>
        <w:rPr>
          <w:sz w:val="22"/>
        </w:rPr>
      </w:pPr>
    </w:p>
    <w:p w14:paraId="635EECD6" w14:textId="31FF4203" w:rsidR="00081744" w:rsidRPr="002F163B" w:rsidRDefault="00081744" w:rsidP="00F01B06">
      <w:pPr>
        <w:pStyle w:val="Default"/>
        <w:numPr>
          <w:ilvl w:val="0"/>
          <w:numId w:val="75"/>
        </w:numPr>
        <w:ind w:left="284" w:hanging="284"/>
        <w:jc w:val="both"/>
        <w:rPr>
          <w:rFonts w:ascii="Times New Roman" w:eastAsia="Times New Roman" w:hAnsi="Times New Roman" w:cs="Times New Roman"/>
          <w:color w:val="auto"/>
          <w:sz w:val="22"/>
          <w:lang w:eastAsia="es-CO"/>
        </w:rPr>
      </w:pPr>
      <w:r w:rsidRPr="002F163B">
        <w:rPr>
          <w:rFonts w:ascii="Times New Roman" w:eastAsia="Times New Roman" w:hAnsi="Times New Roman" w:cs="Times New Roman"/>
          <w:color w:val="auto"/>
          <w:sz w:val="22"/>
          <w:lang w:eastAsia="es-CO"/>
        </w:rPr>
        <w:t xml:space="preserve">El proceso arquitectónico ha evaluado previamente la concepción de espacios y necesidades, inventariando, diagnosticando y mejorando ostensiblemente lo existente.  </w:t>
      </w:r>
    </w:p>
    <w:p w14:paraId="66411DA5" w14:textId="77777777" w:rsidR="00081744" w:rsidRPr="00F435C9" w:rsidRDefault="00081744" w:rsidP="00081744">
      <w:pPr>
        <w:pStyle w:val="Default"/>
        <w:jc w:val="both"/>
        <w:rPr>
          <w:rFonts w:ascii="Times New Roman" w:eastAsia="Times New Roman" w:hAnsi="Times New Roman" w:cs="Times New Roman"/>
          <w:color w:val="auto"/>
          <w:sz w:val="22"/>
          <w:lang w:eastAsia="es-CO"/>
        </w:rPr>
      </w:pPr>
    </w:p>
    <w:p w14:paraId="4BB0C268" w14:textId="77777777" w:rsidR="00081744" w:rsidRDefault="00081744" w:rsidP="00081744">
      <w:pPr>
        <w:pStyle w:val="Default"/>
        <w:jc w:val="both"/>
        <w:rPr>
          <w:rFonts w:ascii="Times New Roman" w:eastAsia="Times New Roman" w:hAnsi="Times New Roman" w:cs="Times New Roman"/>
          <w:color w:val="auto"/>
          <w:sz w:val="22"/>
          <w:lang w:eastAsia="es-CO"/>
        </w:rPr>
      </w:pPr>
    </w:p>
    <w:p w14:paraId="7D45B8BD" w14:textId="3FABA614" w:rsidR="00AA2B35" w:rsidRDefault="00F3193F" w:rsidP="00AA2B35">
      <w:pPr>
        <w:rPr>
          <w:b/>
          <w:color w:val="385623" w:themeColor="accent6" w:themeShade="80"/>
          <w:sz w:val="22"/>
          <w:szCs w:val="22"/>
          <w:u w:val="single"/>
        </w:rPr>
      </w:pPr>
      <w:r>
        <w:rPr>
          <w:b/>
          <w:color w:val="385623" w:themeColor="accent6" w:themeShade="80"/>
          <w:sz w:val="22"/>
          <w:szCs w:val="22"/>
          <w:u w:val="single"/>
        </w:rPr>
        <w:t>Observaciones</w:t>
      </w:r>
    </w:p>
    <w:p w14:paraId="5886F700" w14:textId="77777777" w:rsidR="00F435C9" w:rsidRPr="00081744" w:rsidRDefault="00F435C9" w:rsidP="00F435C9">
      <w:pPr>
        <w:pStyle w:val="Default"/>
        <w:jc w:val="both"/>
        <w:rPr>
          <w:rFonts w:ascii="Times New Roman" w:eastAsia="Times New Roman" w:hAnsi="Times New Roman" w:cs="Times New Roman"/>
          <w:color w:val="auto"/>
          <w:sz w:val="22"/>
          <w:lang w:eastAsia="es-CO"/>
        </w:rPr>
      </w:pPr>
    </w:p>
    <w:p w14:paraId="79551276" w14:textId="0E2EB5E7" w:rsidR="00D843EE" w:rsidRDefault="00081744" w:rsidP="00081744">
      <w:pPr>
        <w:pStyle w:val="Default"/>
        <w:jc w:val="both"/>
        <w:rPr>
          <w:rFonts w:ascii="Times New Roman" w:eastAsia="Times New Roman" w:hAnsi="Times New Roman" w:cs="Times New Roman"/>
          <w:color w:val="auto"/>
          <w:sz w:val="22"/>
          <w:lang w:eastAsia="es-CO"/>
        </w:rPr>
      </w:pPr>
      <w:r w:rsidRPr="002F163B">
        <w:rPr>
          <w:rFonts w:ascii="Times New Roman" w:eastAsia="Times New Roman" w:hAnsi="Times New Roman" w:cs="Times New Roman"/>
          <w:color w:val="auto"/>
          <w:sz w:val="22"/>
          <w:lang w:eastAsia="es-CO"/>
        </w:rPr>
        <w:t xml:space="preserve">Pese a las generalidades descritas en </w:t>
      </w:r>
      <w:r w:rsidR="00D843EE" w:rsidRPr="002F163B">
        <w:rPr>
          <w:rFonts w:ascii="Times New Roman" w:eastAsia="Times New Roman" w:hAnsi="Times New Roman" w:cs="Times New Roman"/>
          <w:color w:val="auto"/>
          <w:sz w:val="22"/>
          <w:lang w:eastAsia="es-CO"/>
        </w:rPr>
        <w:t>e</w:t>
      </w:r>
      <w:r w:rsidR="00D843EE">
        <w:rPr>
          <w:rFonts w:ascii="Times New Roman" w:eastAsia="Times New Roman" w:hAnsi="Times New Roman" w:cs="Times New Roman"/>
          <w:color w:val="auto"/>
          <w:sz w:val="22"/>
          <w:lang w:eastAsia="es-CO"/>
        </w:rPr>
        <w:t>l</w:t>
      </w:r>
      <w:r w:rsidR="00D843EE" w:rsidRPr="002F163B">
        <w:rPr>
          <w:rFonts w:ascii="Times New Roman" w:eastAsia="Times New Roman" w:hAnsi="Times New Roman" w:cs="Times New Roman"/>
          <w:color w:val="auto"/>
          <w:sz w:val="22"/>
          <w:lang w:eastAsia="es-CO"/>
        </w:rPr>
        <w:t xml:space="preserve"> </w:t>
      </w:r>
      <w:r w:rsidRPr="002F163B">
        <w:rPr>
          <w:rFonts w:ascii="Times New Roman" w:eastAsia="Times New Roman" w:hAnsi="Times New Roman" w:cs="Times New Roman"/>
          <w:color w:val="auto"/>
          <w:sz w:val="22"/>
          <w:lang w:eastAsia="es-CO"/>
        </w:rPr>
        <w:t>“Contexto fase de diseños”</w:t>
      </w:r>
      <w:r w:rsidR="0080459B" w:rsidRPr="002F163B">
        <w:rPr>
          <w:rFonts w:ascii="Times New Roman" w:eastAsia="Times New Roman" w:hAnsi="Times New Roman" w:cs="Times New Roman"/>
          <w:color w:val="auto"/>
          <w:sz w:val="22"/>
          <w:lang w:eastAsia="es-CO"/>
        </w:rPr>
        <w:t xml:space="preserve"> y en los “</w:t>
      </w:r>
      <w:r w:rsidR="00D843EE">
        <w:rPr>
          <w:rFonts w:ascii="Times New Roman" w:eastAsia="Times New Roman" w:hAnsi="Times New Roman" w:cs="Times New Roman"/>
          <w:color w:val="auto"/>
          <w:sz w:val="22"/>
          <w:lang w:eastAsia="es-CO"/>
        </w:rPr>
        <w:t>A</w:t>
      </w:r>
      <w:r w:rsidR="00D843EE" w:rsidRPr="002F163B">
        <w:rPr>
          <w:rFonts w:ascii="Times New Roman" w:eastAsia="Times New Roman" w:hAnsi="Times New Roman" w:cs="Times New Roman"/>
          <w:color w:val="auto"/>
          <w:sz w:val="22"/>
          <w:lang w:eastAsia="es-CO"/>
        </w:rPr>
        <w:t xml:space="preserve">spectos </w:t>
      </w:r>
      <w:r w:rsidR="0080459B" w:rsidRPr="002F163B">
        <w:rPr>
          <w:rFonts w:ascii="Times New Roman" w:eastAsia="Times New Roman" w:hAnsi="Times New Roman" w:cs="Times New Roman"/>
          <w:color w:val="auto"/>
          <w:sz w:val="22"/>
          <w:lang w:eastAsia="es-CO"/>
        </w:rPr>
        <w:t>positivos</w:t>
      </w:r>
      <w:r w:rsidR="00D843EE" w:rsidRPr="002F163B">
        <w:rPr>
          <w:rFonts w:ascii="Times New Roman" w:eastAsia="Times New Roman" w:hAnsi="Times New Roman" w:cs="Times New Roman"/>
          <w:color w:val="auto"/>
          <w:sz w:val="22"/>
          <w:lang w:eastAsia="es-CO"/>
        </w:rPr>
        <w:t xml:space="preserve">” </w:t>
      </w:r>
      <w:r w:rsidR="00177D30">
        <w:rPr>
          <w:rFonts w:ascii="Times New Roman" w:eastAsia="Times New Roman" w:hAnsi="Times New Roman" w:cs="Times New Roman"/>
          <w:color w:val="auto"/>
          <w:sz w:val="22"/>
          <w:lang w:eastAsia="es-CO"/>
        </w:rPr>
        <w:t>y</w:t>
      </w:r>
      <w:r w:rsidR="00D843EE">
        <w:rPr>
          <w:rFonts w:ascii="Times New Roman" w:eastAsia="Times New Roman" w:hAnsi="Times New Roman" w:cs="Times New Roman"/>
          <w:color w:val="auto"/>
          <w:sz w:val="22"/>
          <w:lang w:eastAsia="es-CO"/>
        </w:rPr>
        <w:t xml:space="preserve"> los anteriores aspectos</w:t>
      </w:r>
      <w:r w:rsidR="0080459B" w:rsidRPr="002F163B">
        <w:rPr>
          <w:rFonts w:ascii="Times New Roman" w:eastAsia="Times New Roman" w:hAnsi="Times New Roman" w:cs="Times New Roman"/>
          <w:color w:val="auto"/>
          <w:sz w:val="22"/>
          <w:lang w:eastAsia="es-CO"/>
        </w:rPr>
        <w:t xml:space="preserve"> analizados </w:t>
      </w:r>
      <w:r w:rsidR="00D843EE">
        <w:rPr>
          <w:rFonts w:ascii="Times New Roman" w:eastAsia="Times New Roman" w:hAnsi="Times New Roman" w:cs="Times New Roman"/>
          <w:color w:val="auto"/>
          <w:sz w:val="22"/>
          <w:lang w:eastAsia="es-CO"/>
        </w:rPr>
        <w:t>con</w:t>
      </w:r>
      <w:r w:rsidR="00D843EE" w:rsidRPr="002F163B">
        <w:rPr>
          <w:rFonts w:ascii="Times New Roman" w:eastAsia="Times New Roman" w:hAnsi="Times New Roman" w:cs="Times New Roman"/>
          <w:color w:val="auto"/>
          <w:sz w:val="22"/>
          <w:lang w:eastAsia="es-CO"/>
        </w:rPr>
        <w:t xml:space="preserve"> </w:t>
      </w:r>
      <w:r w:rsidR="005169E8" w:rsidRPr="002F163B">
        <w:rPr>
          <w:rFonts w:ascii="Times New Roman" w:eastAsia="Times New Roman" w:hAnsi="Times New Roman" w:cs="Times New Roman"/>
          <w:color w:val="auto"/>
          <w:sz w:val="22"/>
          <w:lang w:eastAsia="es-CO"/>
        </w:rPr>
        <w:t>la</w:t>
      </w:r>
      <w:r w:rsidR="0080459B" w:rsidRPr="002F163B">
        <w:rPr>
          <w:rFonts w:ascii="Times New Roman" w:eastAsia="Times New Roman" w:hAnsi="Times New Roman" w:cs="Times New Roman"/>
          <w:color w:val="auto"/>
          <w:sz w:val="22"/>
          <w:lang w:eastAsia="es-CO"/>
        </w:rPr>
        <w:t xml:space="preserve"> información suministrada</w:t>
      </w:r>
      <w:r w:rsidR="00177D30">
        <w:rPr>
          <w:rFonts w:ascii="Times New Roman" w:eastAsia="Times New Roman" w:hAnsi="Times New Roman" w:cs="Times New Roman"/>
          <w:color w:val="auto"/>
          <w:sz w:val="22"/>
          <w:lang w:eastAsia="es-CO"/>
        </w:rPr>
        <w:t xml:space="preserve">, </w:t>
      </w:r>
      <w:r w:rsidR="000A2A49">
        <w:rPr>
          <w:rFonts w:ascii="Times New Roman" w:eastAsia="Times New Roman" w:hAnsi="Times New Roman" w:cs="Times New Roman"/>
          <w:color w:val="auto"/>
          <w:sz w:val="22"/>
          <w:lang w:eastAsia="es-CO"/>
        </w:rPr>
        <w:t>destacan los siguientes aspectos</w:t>
      </w:r>
      <w:r w:rsidR="00D843EE">
        <w:rPr>
          <w:rFonts w:ascii="Times New Roman" w:eastAsia="Times New Roman" w:hAnsi="Times New Roman" w:cs="Times New Roman"/>
          <w:color w:val="auto"/>
          <w:sz w:val="22"/>
          <w:lang w:eastAsia="es-CO"/>
        </w:rPr>
        <w:t>:</w:t>
      </w:r>
    </w:p>
    <w:p w14:paraId="05B55040" w14:textId="629707E2" w:rsidR="00D843EE" w:rsidRDefault="00D843EE" w:rsidP="00081744">
      <w:pPr>
        <w:pStyle w:val="Default"/>
        <w:jc w:val="both"/>
        <w:rPr>
          <w:rFonts w:ascii="Times New Roman" w:eastAsia="Times New Roman" w:hAnsi="Times New Roman" w:cs="Times New Roman"/>
          <w:color w:val="auto"/>
          <w:sz w:val="22"/>
          <w:lang w:eastAsia="es-CO"/>
        </w:rPr>
      </w:pPr>
    </w:p>
    <w:p w14:paraId="57164A82" w14:textId="3C053211" w:rsidR="000A2A49" w:rsidRPr="000A2A49" w:rsidRDefault="000A2A49" w:rsidP="00177D30">
      <w:pPr>
        <w:pStyle w:val="Default"/>
        <w:numPr>
          <w:ilvl w:val="0"/>
          <w:numId w:val="77"/>
        </w:numPr>
        <w:ind w:left="284" w:hanging="284"/>
        <w:jc w:val="both"/>
        <w:rPr>
          <w:rFonts w:ascii="Times New Roman" w:eastAsia="Times New Roman" w:hAnsi="Times New Roman" w:cs="Times New Roman"/>
          <w:b/>
          <w:i/>
          <w:color w:val="auto"/>
          <w:sz w:val="22"/>
          <w:lang w:eastAsia="es-CO"/>
        </w:rPr>
      </w:pPr>
      <w:r w:rsidRPr="000A2A49">
        <w:rPr>
          <w:rFonts w:ascii="Times New Roman" w:eastAsia="Times New Roman" w:hAnsi="Times New Roman" w:cs="Times New Roman"/>
          <w:b/>
          <w:i/>
          <w:color w:val="auto"/>
          <w:sz w:val="22"/>
          <w:lang w:eastAsia="es-CO"/>
        </w:rPr>
        <w:t>Cronograma:</w:t>
      </w:r>
    </w:p>
    <w:p w14:paraId="2E5E9D6E" w14:textId="77777777" w:rsidR="000A2A49" w:rsidRDefault="000A2A49" w:rsidP="00081744">
      <w:pPr>
        <w:pStyle w:val="Default"/>
        <w:jc w:val="both"/>
        <w:rPr>
          <w:rFonts w:ascii="Times New Roman" w:eastAsia="Times New Roman" w:hAnsi="Times New Roman" w:cs="Times New Roman"/>
          <w:color w:val="auto"/>
          <w:sz w:val="22"/>
          <w:lang w:eastAsia="es-CO"/>
        </w:rPr>
      </w:pPr>
    </w:p>
    <w:p w14:paraId="3407D101" w14:textId="0E315493" w:rsidR="00685D37" w:rsidRPr="00D7350E" w:rsidRDefault="00D843EE" w:rsidP="00F01B06">
      <w:pPr>
        <w:pStyle w:val="Default"/>
        <w:numPr>
          <w:ilvl w:val="0"/>
          <w:numId w:val="76"/>
        </w:numPr>
        <w:ind w:left="284" w:hanging="284"/>
        <w:jc w:val="both"/>
        <w:rPr>
          <w:rFonts w:ascii="Times New Roman" w:eastAsia="Times New Roman" w:hAnsi="Times New Roman" w:cs="Times New Roman"/>
          <w:color w:val="auto"/>
          <w:sz w:val="22"/>
          <w:lang w:eastAsia="es-CO"/>
        </w:rPr>
      </w:pPr>
      <w:r>
        <w:rPr>
          <w:rFonts w:ascii="Times New Roman" w:eastAsia="Times New Roman" w:hAnsi="Times New Roman" w:cs="Times New Roman"/>
          <w:color w:val="auto"/>
          <w:sz w:val="22"/>
          <w:lang w:eastAsia="es-CO"/>
        </w:rPr>
        <w:t>E</w:t>
      </w:r>
      <w:r w:rsidR="00685D37" w:rsidRPr="002F163B">
        <w:rPr>
          <w:rFonts w:ascii="Times New Roman" w:eastAsia="Times New Roman" w:hAnsi="Times New Roman" w:cs="Times New Roman"/>
          <w:color w:val="auto"/>
          <w:sz w:val="22"/>
          <w:lang w:eastAsia="es-CO"/>
        </w:rPr>
        <w:t xml:space="preserve">l cronograma de ejecución del contrato de diseño con la CIS y la Unión Temporal se encuentra atrasado en un 60%. Esto evidencia un desfase de ejecución de lo técnico respecto a lo administrativo, al comparar el contrato de gerencia técnica versus el contrato de diseño por parte de la CIS.  Si bien, el </w:t>
      </w:r>
      <w:r w:rsidR="005169E8" w:rsidRPr="002F163B">
        <w:rPr>
          <w:rFonts w:ascii="Times New Roman" w:eastAsia="Times New Roman" w:hAnsi="Times New Roman" w:cs="Times New Roman"/>
          <w:color w:val="auto"/>
          <w:sz w:val="22"/>
          <w:lang w:eastAsia="es-CO"/>
        </w:rPr>
        <w:t>Mandato</w:t>
      </w:r>
      <w:r w:rsidR="00685D37" w:rsidRPr="002F163B">
        <w:rPr>
          <w:rFonts w:ascii="Times New Roman" w:eastAsia="Times New Roman" w:hAnsi="Times New Roman" w:cs="Times New Roman"/>
          <w:color w:val="auto"/>
          <w:sz w:val="22"/>
          <w:lang w:eastAsia="es-CO"/>
        </w:rPr>
        <w:t xml:space="preserve"> entre la Universidad y la CIS se prorrogó hasta el 26 de diciembre, el contrato de consultoría entre la CIS y la Unión Temporal no se ha ajustado, y tampoco se ha </w:t>
      </w:r>
      <w:r w:rsidR="005169E8" w:rsidRPr="002F163B">
        <w:rPr>
          <w:rFonts w:ascii="Times New Roman" w:eastAsia="Times New Roman" w:hAnsi="Times New Roman" w:cs="Times New Roman"/>
          <w:color w:val="auto"/>
          <w:sz w:val="22"/>
          <w:lang w:eastAsia="es-CO"/>
        </w:rPr>
        <w:t>modificado</w:t>
      </w:r>
      <w:r w:rsidR="00AB799C">
        <w:rPr>
          <w:rFonts w:ascii="Times New Roman" w:eastAsia="Times New Roman" w:hAnsi="Times New Roman" w:cs="Times New Roman"/>
          <w:color w:val="auto"/>
          <w:sz w:val="22"/>
          <w:lang w:eastAsia="es-CO"/>
        </w:rPr>
        <w:t xml:space="preserve"> su cronograma</w:t>
      </w:r>
      <w:r w:rsidR="005169E8" w:rsidRPr="00D7350E">
        <w:rPr>
          <w:rFonts w:ascii="Times New Roman" w:eastAsia="Times New Roman" w:hAnsi="Times New Roman" w:cs="Times New Roman"/>
          <w:color w:val="auto"/>
          <w:sz w:val="22"/>
          <w:lang w:eastAsia="es-CO"/>
        </w:rPr>
        <w:t>.</w:t>
      </w:r>
    </w:p>
    <w:p w14:paraId="056C5822" w14:textId="77777777" w:rsidR="00685D37" w:rsidRDefault="00685D37" w:rsidP="00081744">
      <w:pPr>
        <w:pStyle w:val="Default"/>
        <w:jc w:val="both"/>
        <w:rPr>
          <w:rFonts w:ascii="Times New Roman" w:eastAsia="Times New Roman" w:hAnsi="Times New Roman" w:cs="Times New Roman"/>
          <w:color w:val="auto"/>
          <w:sz w:val="22"/>
          <w:lang w:eastAsia="es-CO"/>
        </w:rPr>
      </w:pPr>
    </w:p>
    <w:p w14:paraId="5C726C01" w14:textId="10170C02" w:rsidR="0080459B" w:rsidRDefault="00D843EE" w:rsidP="00F01B06">
      <w:pPr>
        <w:pStyle w:val="Default"/>
        <w:numPr>
          <w:ilvl w:val="0"/>
          <w:numId w:val="76"/>
        </w:numPr>
        <w:ind w:left="284" w:hanging="284"/>
        <w:jc w:val="both"/>
        <w:rPr>
          <w:rFonts w:ascii="Times New Roman" w:eastAsia="Times New Roman" w:hAnsi="Times New Roman" w:cs="Times New Roman"/>
          <w:color w:val="auto"/>
          <w:sz w:val="22"/>
          <w:lang w:eastAsia="es-CO"/>
        </w:rPr>
      </w:pPr>
      <w:r>
        <w:rPr>
          <w:rFonts w:ascii="Times New Roman" w:eastAsia="Times New Roman" w:hAnsi="Times New Roman" w:cs="Times New Roman"/>
          <w:color w:val="auto"/>
          <w:sz w:val="22"/>
          <w:lang w:eastAsia="es-CO"/>
        </w:rPr>
        <w:t>S</w:t>
      </w:r>
      <w:r w:rsidR="005169E8" w:rsidRPr="002F163B">
        <w:rPr>
          <w:rFonts w:ascii="Times New Roman" w:eastAsia="Times New Roman" w:hAnsi="Times New Roman" w:cs="Times New Roman"/>
          <w:color w:val="auto"/>
          <w:sz w:val="22"/>
          <w:lang w:eastAsia="es-CO"/>
        </w:rPr>
        <w:t>e</w:t>
      </w:r>
      <w:r w:rsidR="0080459B" w:rsidRPr="002F163B">
        <w:rPr>
          <w:rFonts w:ascii="Times New Roman" w:eastAsia="Times New Roman" w:hAnsi="Times New Roman" w:cs="Times New Roman"/>
          <w:color w:val="auto"/>
          <w:sz w:val="22"/>
          <w:lang w:eastAsia="es-CO"/>
        </w:rPr>
        <w:t xml:space="preserve"> evidencia </w:t>
      </w:r>
      <w:r w:rsidR="002F163B">
        <w:rPr>
          <w:rFonts w:ascii="Times New Roman" w:eastAsia="Times New Roman" w:hAnsi="Times New Roman" w:cs="Times New Roman"/>
          <w:color w:val="auto"/>
          <w:sz w:val="22"/>
          <w:lang w:eastAsia="es-CO"/>
        </w:rPr>
        <w:t xml:space="preserve">la posibilidad </w:t>
      </w:r>
      <w:r w:rsidR="00177D30">
        <w:rPr>
          <w:rFonts w:ascii="Times New Roman" w:eastAsia="Times New Roman" w:hAnsi="Times New Roman" w:cs="Times New Roman"/>
          <w:color w:val="auto"/>
          <w:sz w:val="22"/>
          <w:lang w:eastAsia="es-CO"/>
        </w:rPr>
        <w:t xml:space="preserve">en el </w:t>
      </w:r>
      <w:r w:rsidR="002F163B">
        <w:rPr>
          <w:rFonts w:ascii="Times New Roman" w:eastAsia="Times New Roman" w:hAnsi="Times New Roman" w:cs="Times New Roman"/>
          <w:color w:val="auto"/>
          <w:sz w:val="22"/>
          <w:lang w:eastAsia="es-CO"/>
        </w:rPr>
        <w:t xml:space="preserve">aumento </w:t>
      </w:r>
      <w:r w:rsidR="00177D30">
        <w:rPr>
          <w:rFonts w:ascii="Times New Roman" w:eastAsia="Times New Roman" w:hAnsi="Times New Roman" w:cs="Times New Roman"/>
          <w:color w:val="auto"/>
          <w:sz w:val="22"/>
          <w:lang w:eastAsia="es-CO"/>
        </w:rPr>
        <w:t>de</w:t>
      </w:r>
      <w:r w:rsidR="005169E8" w:rsidRPr="002F163B">
        <w:rPr>
          <w:rFonts w:ascii="Times New Roman" w:eastAsia="Times New Roman" w:hAnsi="Times New Roman" w:cs="Times New Roman"/>
          <w:color w:val="auto"/>
          <w:sz w:val="22"/>
          <w:lang w:eastAsia="es-CO"/>
        </w:rPr>
        <w:t xml:space="preserve"> retrasos </w:t>
      </w:r>
      <w:r w:rsidR="002F163B">
        <w:rPr>
          <w:rFonts w:ascii="Times New Roman" w:eastAsia="Times New Roman" w:hAnsi="Times New Roman" w:cs="Times New Roman"/>
          <w:color w:val="auto"/>
          <w:sz w:val="22"/>
          <w:lang w:eastAsia="es-CO"/>
        </w:rPr>
        <w:t>de</w:t>
      </w:r>
      <w:r w:rsidR="00081744" w:rsidRPr="002F163B">
        <w:rPr>
          <w:rFonts w:ascii="Times New Roman" w:eastAsia="Times New Roman" w:hAnsi="Times New Roman" w:cs="Times New Roman"/>
          <w:color w:val="auto"/>
          <w:sz w:val="22"/>
          <w:lang w:eastAsia="es-CO"/>
        </w:rPr>
        <w:t xml:space="preserve"> los diseños, toda vez que el componente arquitectónico no ha llegado a su fase final, y posterior a este</w:t>
      </w:r>
      <w:r w:rsidR="00AB799C">
        <w:rPr>
          <w:rFonts w:ascii="Times New Roman" w:eastAsia="Times New Roman" w:hAnsi="Times New Roman" w:cs="Times New Roman"/>
          <w:color w:val="auto"/>
          <w:sz w:val="22"/>
          <w:lang w:eastAsia="es-CO"/>
        </w:rPr>
        <w:t xml:space="preserve"> vienen otras </w:t>
      </w:r>
      <w:r w:rsidR="00D71D42">
        <w:rPr>
          <w:rFonts w:ascii="Times New Roman" w:eastAsia="Times New Roman" w:hAnsi="Times New Roman" w:cs="Times New Roman"/>
          <w:color w:val="auto"/>
          <w:sz w:val="22"/>
          <w:lang w:eastAsia="es-CO"/>
        </w:rPr>
        <w:t>etapas como son</w:t>
      </w:r>
      <w:r w:rsidR="00081744" w:rsidRPr="002F163B">
        <w:rPr>
          <w:rFonts w:ascii="Times New Roman" w:eastAsia="Times New Roman" w:hAnsi="Times New Roman" w:cs="Times New Roman"/>
          <w:color w:val="auto"/>
          <w:sz w:val="22"/>
          <w:lang w:eastAsia="es-CO"/>
        </w:rPr>
        <w:t xml:space="preserve">, el </w:t>
      </w:r>
      <w:r w:rsidR="00081744" w:rsidRPr="002F163B">
        <w:rPr>
          <w:rFonts w:ascii="Times New Roman" w:eastAsia="Times New Roman" w:hAnsi="Times New Roman" w:cs="Times New Roman"/>
          <w:color w:val="auto"/>
          <w:sz w:val="22"/>
          <w:lang w:eastAsia="es-CO"/>
        </w:rPr>
        <w:lastRenderedPageBreak/>
        <w:t>diseño estructural, hidrosanitario, eléctrico, demás redes de servicios, y el componente bioclimático entre otros,</w:t>
      </w:r>
      <w:r w:rsidR="005169E8" w:rsidRPr="002F163B">
        <w:rPr>
          <w:rFonts w:ascii="Times New Roman" w:eastAsia="Times New Roman" w:hAnsi="Times New Roman" w:cs="Times New Roman"/>
          <w:color w:val="auto"/>
          <w:sz w:val="22"/>
          <w:lang w:eastAsia="es-CO"/>
        </w:rPr>
        <w:t xml:space="preserve"> los cuales</w:t>
      </w:r>
      <w:r w:rsidR="00081744" w:rsidRPr="002F163B">
        <w:rPr>
          <w:rFonts w:ascii="Times New Roman" w:eastAsia="Times New Roman" w:hAnsi="Times New Roman" w:cs="Times New Roman"/>
          <w:color w:val="auto"/>
          <w:sz w:val="22"/>
          <w:lang w:eastAsia="es-CO"/>
        </w:rPr>
        <w:t xml:space="preserve"> no pueden surtir sus correspondientes etapas de diseño por motivo de no estar plenamente definida la fase arquitectónica.</w:t>
      </w:r>
      <w:r w:rsidR="00081744" w:rsidRPr="00F435C9">
        <w:rPr>
          <w:rFonts w:ascii="Times New Roman" w:eastAsia="Times New Roman" w:hAnsi="Times New Roman" w:cs="Times New Roman"/>
          <w:color w:val="auto"/>
          <w:sz w:val="22"/>
          <w:lang w:eastAsia="es-CO"/>
        </w:rPr>
        <w:t xml:space="preserve">  </w:t>
      </w:r>
    </w:p>
    <w:p w14:paraId="5212DBA1" w14:textId="3CE1A5B0" w:rsidR="000A2A49" w:rsidRDefault="000A2A49">
      <w:pPr>
        <w:spacing w:after="160" w:line="259" w:lineRule="auto"/>
        <w:rPr>
          <w:sz w:val="22"/>
        </w:rPr>
      </w:pPr>
      <w:r>
        <w:rPr>
          <w:sz w:val="22"/>
        </w:rPr>
        <w:br w:type="page"/>
      </w:r>
    </w:p>
    <w:p w14:paraId="379E1CB1" w14:textId="77777777" w:rsidR="0080459B" w:rsidRDefault="0080459B" w:rsidP="00081744">
      <w:pPr>
        <w:pStyle w:val="Default"/>
        <w:jc w:val="both"/>
        <w:rPr>
          <w:rFonts w:ascii="Times New Roman" w:eastAsia="Times New Roman" w:hAnsi="Times New Roman" w:cs="Times New Roman"/>
          <w:color w:val="auto"/>
          <w:sz w:val="22"/>
          <w:lang w:eastAsia="es-CO"/>
        </w:rPr>
      </w:pPr>
    </w:p>
    <w:p w14:paraId="0104602B" w14:textId="1AC6FAD6" w:rsidR="000A2A49" w:rsidRPr="000A2A49" w:rsidRDefault="000A2A49" w:rsidP="000A2A49">
      <w:pPr>
        <w:pStyle w:val="Default"/>
        <w:numPr>
          <w:ilvl w:val="0"/>
          <w:numId w:val="77"/>
        </w:numPr>
        <w:ind w:left="284" w:hanging="284"/>
        <w:jc w:val="both"/>
        <w:rPr>
          <w:rFonts w:ascii="Times New Roman" w:eastAsia="Times New Roman" w:hAnsi="Times New Roman" w:cs="Times New Roman"/>
          <w:b/>
          <w:i/>
          <w:color w:val="auto"/>
          <w:sz w:val="22"/>
          <w:lang w:eastAsia="es-CO"/>
        </w:rPr>
      </w:pPr>
      <w:r>
        <w:rPr>
          <w:rFonts w:ascii="Times New Roman" w:eastAsia="Times New Roman" w:hAnsi="Times New Roman" w:cs="Times New Roman"/>
          <w:b/>
          <w:i/>
          <w:color w:val="auto"/>
          <w:sz w:val="22"/>
          <w:lang w:eastAsia="es-CO"/>
        </w:rPr>
        <w:t>Documentación</w:t>
      </w:r>
      <w:r w:rsidRPr="000A2A49">
        <w:rPr>
          <w:rFonts w:ascii="Times New Roman" w:eastAsia="Times New Roman" w:hAnsi="Times New Roman" w:cs="Times New Roman"/>
          <w:b/>
          <w:i/>
          <w:color w:val="auto"/>
          <w:sz w:val="22"/>
          <w:lang w:eastAsia="es-CO"/>
        </w:rPr>
        <w:t>:</w:t>
      </w:r>
    </w:p>
    <w:p w14:paraId="480FCFB5" w14:textId="77777777" w:rsidR="000A2A49" w:rsidRDefault="000A2A49" w:rsidP="00081744">
      <w:pPr>
        <w:pStyle w:val="Default"/>
        <w:jc w:val="both"/>
        <w:rPr>
          <w:rFonts w:ascii="Times New Roman" w:eastAsia="Times New Roman" w:hAnsi="Times New Roman" w:cs="Times New Roman"/>
          <w:color w:val="auto"/>
          <w:sz w:val="22"/>
          <w:lang w:eastAsia="es-CO"/>
        </w:rPr>
      </w:pPr>
    </w:p>
    <w:p w14:paraId="65F62D42" w14:textId="6718D011" w:rsidR="00AA2B35" w:rsidRDefault="0080459B" w:rsidP="00F01B06">
      <w:pPr>
        <w:pStyle w:val="Default"/>
        <w:numPr>
          <w:ilvl w:val="0"/>
          <w:numId w:val="76"/>
        </w:numPr>
        <w:ind w:left="284" w:hanging="284"/>
        <w:jc w:val="both"/>
        <w:rPr>
          <w:rFonts w:ascii="Times New Roman" w:eastAsia="Times New Roman" w:hAnsi="Times New Roman" w:cs="Times New Roman"/>
          <w:color w:val="auto"/>
          <w:sz w:val="22"/>
          <w:lang w:eastAsia="es-CO"/>
        </w:rPr>
      </w:pPr>
      <w:r w:rsidRPr="002E0EA9">
        <w:rPr>
          <w:rFonts w:ascii="Times New Roman" w:eastAsia="Times New Roman" w:hAnsi="Times New Roman" w:cs="Times New Roman"/>
          <w:color w:val="auto"/>
          <w:sz w:val="22"/>
          <w:lang w:eastAsia="es-CO"/>
        </w:rPr>
        <w:t xml:space="preserve">En la documentación analizada, </w:t>
      </w:r>
      <w:r w:rsidR="00A20232" w:rsidRPr="002E0EA9">
        <w:rPr>
          <w:rFonts w:ascii="Times New Roman" w:eastAsia="Times New Roman" w:hAnsi="Times New Roman" w:cs="Times New Roman"/>
          <w:color w:val="auto"/>
          <w:sz w:val="22"/>
          <w:lang w:eastAsia="es-CO"/>
        </w:rPr>
        <w:t>s</w:t>
      </w:r>
      <w:r w:rsidRPr="002E0EA9">
        <w:rPr>
          <w:rFonts w:ascii="Times New Roman" w:eastAsia="Times New Roman" w:hAnsi="Times New Roman" w:cs="Times New Roman"/>
          <w:color w:val="auto"/>
          <w:sz w:val="22"/>
          <w:lang w:eastAsia="es-CO"/>
        </w:rPr>
        <w:t>e observa un posible incumplimien</w:t>
      </w:r>
      <w:r w:rsidR="00A20232" w:rsidRPr="002E0EA9">
        <w:rPr>
          <w:rFonts w:ascii="Times New Roman" w:eastAsia="Times New Roman" w:hAnsi="Times New Roman" w:cs="Times New Roman"/>
          <w:color w:val="auto"/>
          <w:sz w:val="22"/>
          <w:lang w:eastAsia="es-CO"/>
        </w:rPr>
        <w:t xml:space="preserve">to de pago por parte de la CIS </w:t>
      </w:r>
      <w:r w:rsidR="00F01B06">
        <w:rPr>
          <w:rFonts w:ascii="Times New Roman" w:eastAsia="Times New Roman" w:hAnsi="Times New Roman" w:cs="Times New Roman"/>
          <w:color w:val="auto"/>
          <w:sz w:val="22"/>
          <w:lang w:eastAsia="es-CO"/>
        </w:rPr>
        <w:t>a</w:t>
      </w:r>
      <w:r w:rsidR="00F01B06" w:rsidRPr="002E0EA9">
        <w:rPr>
          <w:rFonts w:ascii="Times New Roman" w:eastAsia="Times New Roman" w:hAnsi="Times New Roman" w:cs="Times New Roman"/>
          <w:color w:val="auto"/>
          <w:sz w:val="22"/>
          <w:lang w:eastAsia="es-CO"/>
        </w:rPr>
        <w:t xml:space="preserve"> </w:t>
      </w:r>
      <w:r w:rsidRPr="002E0EA9">
        <w:rPr>
          <w:rFonts w:ascii="Times New Roman" w:eastAsia="Times New Roman" w:hAnsi="Times New Roman" w:cs="Times New Roman"/>
          <w:color w:val="auto"/>
          <w:sz w:val="22"/>
          <w:lang w:eastAsia="es-CO"/>
        </w:rPr>
        <w:t>la Unión Temporal ya que,</w:t>
      </w:r>
      <w:r w:rsidR="00081744" w:rsidRPr="002E0EA9">
        <w:rPr>
          <w:rFonts w:ascii="Times New Roman" w:eastAsia="Times New Roman" w:hAnsi="Times New Roman" w:cs="Times New Roman"/>
          <w:color w:val="auto"/>
          <w:sz w:val="22"/>
          <w:lang w:eastAsia="es-CO"/>
        </w:rPr>
        <w:t xml:space="preserve"> de acuerdo a la documentación suministrada</w:t>
      </w:r>
      <w:r w:rsidRPr="002E0EA9">
        <w:rPr>
          <w:rFonts w:ascii="Times New Roman" w:eastAsia="Times New Roman" w:hAnsi="Times New Roman" w:cs="Times New Roman"/>
          <w:color w:val="auto"/>
          <w:sz w:val="22"/>
          <w:lang w:eastAsia="es-CO"/>
        </w:rPr>
        <w:t>,</w:t>
      </w:r>
      <w:r w:rsidR="00081744" w:rsidRPr="002E0EA9">
        <w:rPr>
          <w:rFonts w:ascii="Times New Roman" w:eastAsia="Times New Roman" w:hAnsi="Times New Roman" w:cs="Times New Roman"/>
          <w:color w:val="auto"/>
          <w:sz w:val="22"/>
          <w:lang w:eastAsia="es-CO"/>
        </w:rPr>
        <w:t xml:space="preserve"> a los diseñadores no les han pagado la factura </w:t>
      </w:r>
      <w:r w:rsidR="002E0EA9" w:rsidRPr="002E0EA9">
        <w:rPr>
          <w:rFonts w:ascii="Times New Roman" w:eastAsia="Times New Roman" w:hAnsi="Times New Roman" w:cs="Times New Roman"/>
          <w:color w:val="auto"/>
          <w:sz w:val="22"/>
          <w:lang w:eastAsia="es-CO"/>
        </w:rPr>
        <w:t>n</w:t>
      </w:r>
      <w:r w:rsidRPr="002E0EA9">
        <w:rPr>
          <w:rFonts w:ascii="Times New Roman" w:eastAsia="Times New Roman" w:hAnsi="Times New Roman" w:cs="Times New Roman"/>
          <w:color w:val="auto"/>
          <w:sz w:val="22"/>
          <w:lang w:eastAsia="es-CO"/>
        </w:rPr>
        <w:t>ro</w:t>
      </w:r>
      <w:r w:rsidR="00081744" w:rsidRPr="002E0EA9">
        <w:rPr>
          <w:rFonts w:ascii="Times New Roman" w:eastAsia="Times New Roman" w:hAnsi="Times New Roman" w:cs="Times New Roman"/>
          <w:color w:val="auto"/>
          <w:sz w:val="22"/>
          <w:lang w:eastAsia="es-CO"/>
        </w:rPr>
        <w:t>.1 del 1 de marzo de 2018 por valor de $1.012.705.356 que corresponde al primer pago pactado en la cláusula tercera del contrato entre la CIS y la Unión Temporal.</w:t>
      </w:r>
    </w:p>
    <w:p w14:paraId="615940C2" w14:textId="77777777" w:rsidR="0080459B" w:rsidRPr="00264906" w:rsidRDefault="0080459B" w:rsidP="00081744">
      <w:pPr>
        <w:pStyle w:val="Default"/>
        <w:jc w:val="both"/>
        <w:rPr>
          <w:rFonts w:ascii="Times New Roman" w:eastAsia="Times New Roman" w:hAnsi="Times New Roman" w:cs="Times New Roman"/>
          <w:color w:val="auto"/>
          <w:sz w:val="22"/>
          <w:lang w:eastAsia="es-CO"/>
        </w:rPr>
      </w:pPr>
    </w:p>
    <w:p w14:paraId="198C026F" w14:textId="40C26000" w:rsidR="00556C97" w:rsidRDefault="00F01B06" w:rsidP="00F01B06">
      <w:pPr>
        <w:pStyle w:val="Default"/>
        <w:numPr>
          <w:ilvl w:val="0"/>
          <w:numId w:val="76"/>
        </w:numPr>
        <w:ind w:left="284" w:hanging="284"/>
        <w:jc w:val="both"/>
        <w:rPr>
          <w:rFonts w:ascii="Times New Roman" w:eastAsia="Times New Roman" w:hAnsi="Times New Roman" w:cs="Times New Roman"/>
          <w:color w:val="auto"/>
          <w:sz w:val="22"/>
          <w:lang w:eastAsia="es-CO"/>
        </w:rPr>
      </w:pPr>
      <w:r>
        <w:rPr>
          <w:rFonts w:ascii="Times New Roman" w:eastAsia="Times New Roman" w:hAnsi="Times New Roman" w:cs="Times New Roman"/>
          <w:color w:val="auto"/>
          <w:sz w:val="22"/>
          <w:lang w:eastAsia="es-CO"/>
        </w:rPr>
        <w:t>S</w:t>
      </w:r>
      <w:r w:rsidR="003563CE">
        <w:rPr>
          <w:rFonts w:ascii="Times New Roman" w:eastAsia="Times New Roman" w:hAnsi="Times New Roman" w:cs="Times New Roman"/>
          <w:color w:val="auto"/>
          <w:sz w:val="22"/>
          <w:lang w:eastAsia="es-CO"/>
        </w:rPr>
        <w:t xml:space="preserve">e </w:t>
      </w:r>
      <w:r w:rsidR="0080459B">
        <w:rPr>
          <w:rFonts w:ascii="Times New Roman" w:eastAsia="Times New Roman" w:hAnsi="Times New Roman" w:cs="Times New Roman"/>
          <w:color w:val="auto"/>
          <w:sz w:val="22"/>
          <w:lang w:eastAsia="es-CO"/>
        </w:rPr>
        <w:t xml:space="preserve">evidencia </w:t>
      </w:r>
      <w:r w:rsidR="00A20232">
        <w:rPr>
          <w:rFonts w:ascii="Times New Roman" w:eastAsia="Times New Roman" w:hAnsi="Times New Roman" w:cs="Times New Roman"/>
          <w:color w:val="auto"/>
          <w:sz w:val="22"/>
          <w:lang w:eastAsia="es-CO"/>
        </w:rPr>
        <w:t xml:space="preserve">en </w:t>
      </w:r>
      <w:r w:rsidR="00501D48">
        <w:rPr>
          <w:rFonts w:ascii="Times New Roman" w:eastAsia="Times New Roman" w:hAnsi="Times New Roman" w:cs="Times New Roman"/>
          <w:color w:val="auto"/>
          <w:sz w:val="22"/>
          <w:lang w:eastAsia="es-CO"/>
        </w:rPr>
        <w:t xml:space="preserve">uno de los </w:t>
      </w:r>
      <w:r w:rsidR="00501D48" w:rsidRPr="00FA281C">
        <w:rPr>
          <w:rFonts w:ascii="Times New Roman" w:eastAsia="Times New Roman" w:hAnsi="Times New Roman" w:cs="Times New Roman"/>
          <w:color w:val="auto"/>
          <w:sz w:val="22"/>
          <w:lang w:eastAsia="es-CO"/>
        </w:rPr>
        <w:t>taller</w:t>
      </w:r>
      <w:r w:rsidR="00501D48" w:rsidRPr="00501D48">
        <w:rPr>
          <w:rFonts w:ascii="Times New Roman" w:eastAsia="Times New Roman" w:hAnsi="Times New Roman" w:cs="Times New Roman"/>
          <w:color w:val="auto"/>
          <w:sz w:val="22"/>
          <w:lang w:eastAsia="es-CO"/>
        </w:rPr>
        <w:t>es de</w:t>
      </w:r>
      <w:r w:rsidR="00501D48" w:rsidRPr="00FA281C">
        <w:rPr>
          <w:rFonts w:ascii="Times New Roman" w:eastAsia="Times New Roman" w:hAnsi="Times New Roman" w:cs="Times New Roman"/>
          <w:color w:val="auto"/>
          <w:sz w:val="22"/>
          <w:lang w:eastAsia="es-CO"/>
        </w:rPr>
        <w:t xml:space="preserve"> laboratorios de apoyo</w:t>
      </w:r>
      <w:r w:rsidR="00A20232">
        <w:rPr>
          <w:rFonts w:ascii="Times New Roman" w:eastAsia="Times New Roman" w:hAnsi="Times New Roman" w:cs="Times New Roman"/>
          <w:color w:val="auto"/>
          <w:sz w:val="22"/>
          <w:lang w:eastAsia="es-CO"/>
        </w:rPr>
        <w:t>,</w:t>
      </w:r>
      <w:r w:rsidR="00501D48" w:rsidRPr="00FA281C">
        <w:rPr>
          <w:rFonts w:ascii="Times New Roman" w:eastAsia="Times New Roman" w:hAnsi="Times New Roman" w:cs="Times New Roman"/>
          <w:color w:val="auto"/>
          <w:sz w:val="22"/>
          <w:lang w:eastAsia="es-CO"/>
        </w:rPr>
        <w:t xml:space="preserve"> </w:t>
      </w:r>
      <w:r w:rsidR="00556C97">
        <w:rPr>
          <w:rFonts w:ascii="Times New Roman" w:eastAsia="Times New Roman" w:hAnsi="Times New Roman" w:cs="Times New Roman"/>
          <w:color w:val="auto"/>
          <w:sz w:val="22"/>
          <w:lang w:eastAsia="es-CO"/>
        </w:rPr>
        <w:t>desarrollado el j</w:t>
      </w:r>
      <w:r w:rsidR="00501D48" w:rsidRPr="00501D48">
        <w:rPr>
          <w:rFonts w:ascii="Times New Roman" w:eastAsia="Times New Roman" w:hAnsi="Times New Roman" w:cs="Times New Roman"/>
          <w:color w:val="auto"/>
          <w:sz w:val="22"/>
          <w:lang w:eastAsia="es-CO"/>
        </w:rPr>
        <w:t xml:space="preserve">ueves 14 de junio de 2018; </w:t>
      </w:r>
      <w:r w:rsidR="00501D48">
        <w:rPr>
          <w:rFonts w:ascii="Times New Roman" w:eastAsia="Times New Roman" w:hAnsi="Times New Roman" w:cs="Times New Roman"/>
          <w:color w:val="auto"/>
          <w:sz w:val="22"/>
          <w:lang w:eastAsia="es-CO"/>
        </w:rPr>
        <w:t>se encontró que, e</w:t>
      </w:r>
      <w:r w:rsidR="00AA2B35" w:rsidRPr="00501D48">
        <w:rPr>
          <w:rFonts w:ascii="Times New Roman" w:eastAsia="Times New Roman" w:hAnsi="Times New Roman" w:cs="Times New Roman"/>
          <w:color w:val="auto"/>
          <w:sz w:val="22"/>
          <w:lang w:eastAsia="es-CO"/>
        </w:rPr>
        <w:t>n cuanto a</w:t>
      </w:r>
      <w:r w:rsidR="003563CE">
        <w:rPr>
          <w:rFonts w:ascii="Times New Roman" w:eastAsia="Times New Roman" w:hAnsi="Times New Roman" w:cs="Times New Roman"/>
          <w:color w:val="auto"/>
          <w:sz w:val="22"/>
          <w:lang w:eastAsia="es-CO"/>
        </w:rPr>
        <w:t>l proceso de dar el aval a los laboratorios de a</w:t>
      </w:r>
      <w:r w:rsidR="00AA2B35" w:rsidRPr="00501D48">
        <w:rPr>
          <w:rFonts w:ascii="Times New Roman" w:eastAsia="Times New Roman" w:hAnsi="Times New Roman" w:cs="Times New Roman"/>
          <w:color w:val="auto"/>
          <w:sz w:val="22"/>
          <w:lang w:eastAsia="es-CO"/>
        </w:rPr>
        <w:t>poyo se realizó la siguiente reflexión</w:t>
      </w:r>
      <w:r w:rsidR="00501D48">
        <w:rPr>
          <w:rFonts w:ascii="Times New Roman" w:eastAsia="Times New Roman" w:hAnsi="Times New Roman" w:cs="Times New Roman"/>
          <w:color w:val="auto"/>
          <w:sz w:val="22"/>
          <w:lang w:eastAsia="es-CO"/>
        </w:rPr>
        <w:t xml:space="preserve">: </w:t>
      </w:r>
      <w:r w:rsidR="00AA2B35" w:rsidRPr="00501D48">
        <w:rPr>
          <w:rFonts w:ascii="Times New Roman" w:eastAsia="Times New Roman" w:hAnsi="Times New Roman" w:cs="Times New Roman"/>
          <w:color w:val="auto"/>
          <w:sz w:val="22"/>
          <w:lang w:eastAsia="es-CO"/>
        </w:rPr>
        <w:t xml:space="preserve"> </w:t>
      </w:r>
    </w:p>
    <w:p w14:paraId="703FDB4D" w14:textId="77777777" w:rsidR="00A20232" w:rsidRDefault="00A20232" w:rsidP="00556C97">
      <w:pPr>
        <w:pStyle w:val="Default"/>
        <w:jc w:val="both"/>
        <w:rPr>
          <w:rFonts w:ascii="Times New Roman" w:eastAsia="Times New Roman" w:hAnsi="Times New Roman" w:cs="Times New Roman"/>
          <w:color w:val="auto"/>
          <w:sz w:val="22"/>
          <w:lang w:eastAsia="es-CO"/>
        </w:rPr>
      </w:pPr>
    </w:p>
    <w:p w14:paraId="5D835847" w14:textId="400A4905" w:rsidR="00F435C9" w:rsidRPr="00F01B06" w:rsidRDefault="00501D48" w:rsidP="00F01B06">
      <w:pPr>
        <w:pStyle w:val="Default"/>
        <w:ind w:left="567" w:right="424"/>
        <w:jc w:val="both"/>
        <w:rPr>
          <w:rFonts w:ascii="Times New Roman" w:eastAsia="Times New Roman" w:hAnsi="Times New Roman" w:cs="Times New Roman"/>
          <w:color w:val="auto"/>
          <w:sz w:val="18"/>
          <w:lang w:eastAsia="es-CO"/>
        </w:rPr>
      </w:pPr>
      <w:r w:rsidRPr="00F01B06">
        <w:rPr>
          <w:rFonts w:ascii="Times New Roman" w:eastAsia="Times New Roman" w:hAnsi="Times New Roman" w:cs="Times New Roman"/>
          <w:i/>
          <w:color w:val="auto"/>
          <w:sz w:val="18"/>
          <w:lang w:eastAsia="es-CO"/>
        </w:rPr>
        <w:t>“</w:t>
      </w:r>
      <w:r w:rsidR="00AA2B35" w:rsidRPr="00F01B06">
        <w:rPr>
          <w:rFonts w:ascii="Times New Roman" w:eastAsia="Times New Roman" w:hAnsi="Times New Roman" w:cs="Times New Roman"/>
          <w:i/>
          <w:color w:val="auto"/>
          <w:sz w:val="18"/>
          <w:lang w:eastAsia="es-CO"/>
        </w:rPr>
        <w:t xml:space="preserve">partiendo de la </w:t>
      </w:r>
      <w:r w:rsidR="00AA2B35" w:rsidRPr="00F01B06">
        <w:rPr>
          <w:rFonts w:ascii="Times New Roman" w:eastAsia="Times New Roman" w:hAnsi="Times New Roman" w:cs="Times New Roman"/>
          <w:b/>
          <w:i/>
          <w:color w:val="auto"/>
          <w:sz w:val="18"/>
          <w:lang w:eastAsia="es-CO"/>
        </w:rPr>
        <w:t>incertidumbre</w:t>
      </w:r>
      <w:r w:rsidR="00AA2B35" w:rsidRPr="00F01B06">
        <w:rPr>
          <w:rFonts w:ascii="Times New Roman" w:eastAsia="Times New Roman" w:hAnsi="Times New Roman" w:cs="Times New Roman"/>
          <w:i/>
          <w:color w:val="auto"/>
          <w:sz w:val="18"/>
          <w:lang w:eastAsia="es-CO"/>
        </w:rPr>
        <w:t xml:space="preserve"> en lo referente a la continuidad del proyecto, por la ausencia de decisiones y directrices por parte de la administr</w:t>
      </w:r>
      <w:r w:rsidRPr="00F01B06">
        <w:rPr>
          <w:rFonts w:ascii="Times New Roman" w:eastAsia="Times New Roman" w:hAnsi="Times New Roman" w:cs="Times New Roman"/>
          <w:i/>
          <w:color w:val="auto"/>
          <w:sz w:val="18"/>
          <w:lang w:eastAsia="es-CO"/>
        </w:rPr>
        <w:t>ación central de la Universidad,</w:t>
      </w:r>
      <w:r w:rsidR="00AA2B35" w:rsidRPr="00F01B06">
        <w:rPr>
          <w:rFonts w:ascii="Times New Roman" w:eastAsia="Times New Roman" w:hAnsi="Times New Roman" w:cs="Times New Roman"/>
          <w:i/>
          <w:color w:val="auto"/>
          <w:sz w:val="18"/>
          <w:lang w:eastAsia="es-CO"/>
        </w:rPr>
        <w:t xml:space="preserve"> las respuestas a los decanos y directores en el Consejo Académico, son confusas, no hay claridad, y no generan tranquilidad; y estas razones lleva a las Unidades Académicas a cuestionarse la pertinencia de dar avales a procesos de un proyecto, que no tiene nada definido por la administración de la Universidad.</w:t>
      </w:r>
      <w:r w:rsidRPr="00F01B06">
        <w:rPr>
          <w:rFonts w:ascii="Times New Roman" w:eastAsia="Times New Roman" w:hAnsi="Times New Roman" w:cs="Times New Roman"/>
          <w:i/>
          <w:color w:val="auto"/>
          <w:sz w:val="18"/>
          <w:lang w:eastAsia="es-CO"/>
        </w:rPr>
        <w:t>”</w:t>
      </w:r>
      <w:r w:rsidR="003563CE" w:rsidRPr="00F01B06">
        <w:rPr>
          <w:rFonts w:ascii="Times New Roman" w:eastAsia="Times New Roman" w:hAnsi="Times New Roman" w:cs="Times New Roman"/>
          <w:i/>
          <w:color w:val="auto"/>
          <w:sz w:val="18"/>
          <w:lang w:eastAsia="es-CO"/>
        </w:rPr>
        <w:t xml:space="preserve"> </w:t>
      </w:r>
      <w:r w:rsidR="003563CE" w:rsidRPr="00F01B06">
        <w:rPr>
          <w:rFonts w:ascii="Times New Roman" w:eastAsia="Times New Roman" w:hAnsi="Times New Roman" w:cs="Times New Roman"/>
          <w:color w:val="auto"/>
          <w:sz w:val="18"/>
          <w:lang w:eastAsia="es-CO"/>
        </w:rPr>
        <w:t>Resaltado fuera de texto</w:t>
      </w:r>
    </w:p>
    <w:p w14:paraId="7F680385" w14:textId="4BBF4A59" w:rsidR="00F435C9" w:rsidRPr="004264DC" w:rsidRDefault="00F435C9" w:rsidP="00F01B06">
      <w:pPr>
        <w:pStyle w:val="Default"/>
        <w:ind w:left="284" w:right="424"/>
        <w:jc w:val="both"/>
        <w:rPr>
          <w:rFonts w:ascii="Times New Roman" w:eastAsia="Times New Roman" w:hAnsi="Times New Roman" w:cs="Times New Roman"/>
          <w:color w:val="FF0000"/>
          <w:sz w:val="22"/>
          <w:lang w:eastAsia="es-CO"/>
        </w:rPr>
      </w:pPr>
    </w:p>
    <w:p w14:paraId="7ECA7D6C" w14:textId="640E95B2" w:rsidR="00A20232" w:rsidRPr="003563CE" w:rsidRDefault="000A2A49" w:rsidP="00F01B06">
      <w:pPr>
        <w:pStyle w:val="Default"/>
        <w:ind w:left="284"/>
        <w:jc w:val="both"/>
        <w:rPr>
          <w:rFonts w:ascii="Times New Roman" w:eastAsia="Times New Roman" w:hAnsi="Times New Roman" w:cs="Times New Roman"/>
          <w:color w:val="auto"/>
          <w:sz w:val="22"/>
          <w:lang w:eastAsia="es-CO"/>
        </w:rPr>
      </w:pPr>
      <w:r>
        <w:rPr>
          <w:rFonts w:ascii="Times New Roman" w:eastAsia="Times New Roman" w:hAnsi="Times New Roman" w:cs="Times New Roman"/>
          <w:color w:val="auto"/>
          <w:sz w:val="22"/>
          <w:lang w:eastAsia="es-CO"/>
        </w:rPr>
        <w:t>L</w:t>
      </w:r>
      <w:r w:rsidR="00745CA8" w:rsidRPr="003563CE">
        <w:rPr>
          <w:rFonts w:ascii="Times New Roman" w:eastAsia="Times New Roman" w:hAnsi="Times New Roman" w:cs="Times New Roman"/>
          <w:color w:val="auto"/>
          <w:sz w:val="22"/>
          <w:lang w:eastAsia="es-CO"/>
        </w:rPr>
        <w:t>o anterior</w:t>
      </w:r>
      <w:r w:rsidR="00A20232" w:rsidRPr="003563CE">
        <w:rPr>
          <w:rFonts w:ascii="Times New Roman" w:eastAsia="Times New Roman" w:hAnsi="Times New Roman" w:cs="Times New Roman"/>
          <w:color w:val="auto"/>
          <w:sz w:val="22"/>
          <w:lang w:eastAsia="es-CO"/>
        </w:rPr>
        <w:t xml:space="preserve">, </w:t>
      </w:r>
      <w:r>
        <w:rPr>
          <w:rFonts w:ascii="Times New Roman" w:eastAsia="Times New Roman" w:hAnsi="Times New Roman" w:cs="Times New Roman"/>
          <w:color w:val="auto"/>
          <w:sz w:val="22"/>
          <w:lang w:eastAsia="es-CO"/>
        </w:rPr>
        <w:t>evidencia</w:t>
      </w:r>
      <w:r w:rsidR="00A20232" w:rsidRPr="003563CE">
        <w:rPr>
          <w:rFonts w:ascii="Times New Roman" w:eastAsia="Times New Roman" w:hAnsi="Times New Roman" w:cs="Times New Roman"/>
          <w:color w:val="auto"/>
          <w:sz w:val="22"/>
          <w:lang w:eastAsia="es-CO"/>
        </w:rPr>
        <w:t xml:space="preserve"> </w:t>
      </w:r>
      <w:r w:rsidR="006B0069" w:rsidRPr="003563CE">
        <w:rPr>
          <w:rFonts w:ascii="Times New Roman" w:eastAsia="Times New Roman" w:hAnsi="Times New Roman" w:cs="Times New Roman"/>
          <w:color w:val="auto"/>
          <w:sz w:val="22"/>
          <w:lang w:eastAsia="es-CO"/>
        </w:rPr>
        <w:t>percepciones</w:t>
      </w:r>
      <w:r w:rsidR="00A20232" w:rsidRPr="003563CE">
        <w:rPr>
          <w:rFonts w:ascii="Times New Roman" w:eastAsia="Times New Roman" w:hAnsi="Times New Roman" w:cs="Times New Roman"/>
          <w:color w:val="auto"/>
          <w:sz w:val="22"/>
          <w:lang w:eastAsia="es-CO"/>
        </w:rPr>
        <w:t xml:space="preserve"> inconclusas anunciadas y </w:t>
      </w:r>
      <w:r>
        <w:rPr>
          <w:rFonts w:ascii="Times New Roman" w:eastAsia="Times New Roman" w:hAnsi="Times New Roman" w:cs="Times New Roman"/>
          <w:color w:val="auto"/>
          <w:sz w:val="22"/>
          <w:lang w:eastAsia="es-CO"/>
        </w:rPr>
        <w:t>sin</w:t>
      </w:r>
      <w:r w:rsidR="00A20232" w:rsidRPr="003563CE">
        <w:rPr>
          <w:rFonts w:ascii="Times New Roman" w:eastAsia="Times New Roman" w:hAnsi="Times New Roman" w:cs="Times New Roman"/>
          <w:color w:val="auto"/>
          <w:sz w:val="22"/>
          <w:lang w:eastAsia="es-CO"/>
        </w:rPr>
        <w:t xml:space="preserve"> respuesta</w:t>
      </w:r>
      <w:r>
        <w:rPr>
          <w:rFonts w:ascii="Times New Roman" w:eastAsia="Times New Roman" w:hAnsi="Times New Roman" w:cs="Times New Roman"/>
          <w:color w:val="auto"/>
          <w:sz w:val="22"/>
          <w:lang w:eastAsia="es-CO"/>
        </w:rPr>
        <w:t>;</w:t>
      </w:r>
      <w:r w:rsidRPr="003563CE">
        <w:rPr>
          <w:rFonts w:ascii="Times New Roman" w:eastAsia="Times New Roman" w:hAnsi="Times New Roman" w:cs="Times New Roman"/>
          <w:color w:val="auto"/>
          <w:sz w:val="22"/>
          <w:lang w:eastAsia="es-CO"/>
        </w:rPr>
        <w:t xml:space="preserve"> </w:t>
      </w:r>
      <w:r>
        <w:rPr>
          <w:rFonts w:ascii="Times New Roman" w:eastAsia="Times New Roman" w:hAnsi="Times New Roman" w:cs="Times New Roman"/>
          <w:color w:val="auto"/>
          <w:sz w:val="22"/>
          <w:lang w:eastAsia="es-CO"/>
        </w:rPr>
        <w:t>a</w:t>
      </w:r>
      <w:r w:rsidR="00A20232" w:rsidRPr="003563CE">
        <w:rPr>
          <w:rFonts w:ascii="Times New Roman" w:eastAsia="Times New Roman" w:hAnsi="Times New Roman" w:cs="Times New Roman"/>
          <w:color w:val="auto"/>
          <w:sz w:val="22"/>
          <w:lang w:eastAsia="es-CO"/>
        </w:rPr>
        <w:t>demás, lo</w:t>
      </w:r>
      <w:r>
        <w:rPr>
          <w:rFonts w:ascii="Times New Roman" w:eastAsia="Times New Roman" w:hAnsi="Times New Roman" w:cs="Times New Roman"/>
          <w:color w:val="auto"/>
          <w:sz w:val="22"/>
          <w:lang w:eastAsia="es-CO"/>
        </w:rPr>
        <w:t>s aspectos</w:t>
      </w:r>
      <w:r w:rsidR="00A20232" w:rsidRPr="003563CE">
        <w:rPr>
          <w:rFonts w:ascii="Times New Roman" w:eastAsia="Times New Roman" w:hAnsi="Times New Roman" w:cs="Times New Roman"/>
          <w:color w:val="auto"/>
          <w:sz w:val="22"/>
          <w:lang w:eastAsia="es-CO"/>
        </w:rPr>
        <w:t xml:space="preserve"> técnico</w:t>
      </w:r>
      <w:r>
        <w:rPr>
          <w:rFonts w:ascii="Times New Roman" w:eastAsia="Times New Roman" w:hAnsi="Times New Roman" w:cs="Times New Roman"/>
          <w:color w:val="auto"/>
          <w:sz w:val="22"/>
          <w:lang w:eastAsia="es-CO"/>
        </w:rPr>
        <w:t>s</w:t>
      </w:r>
      <w:r w:rsidR="00A20232" w:rsidRPr="003563CE">
        <w:rPr>
          <w:rFonts w:ascii="Times New Roman" w:eastAsia="Times New Roman" w:hAnsi="Times New Roman" w:cs="Times New Roman"/>
          <w:color w:val="auto"/>
          <w:sz w:val="22"/>
          <w:lang w:eastAsia="es-CO"/>
        </w:rPr>
        <w:t xml:space="preserve"> presenta</w:t>
      </w:r>
      <w:r>
        <w:rPr>
          <w:rFonts w:ascii="Times New Roman" w:eastAsia="Times New Roman" w:hAnsi="Times New Roman" w:cs="Times New Roman"/>
          <w:color w:val="auto"/>
          <w:sz w:val="22"/>
          <w:lang w:eastAsia="es-CO"/>
        </w:rPr>
        <w:t>n</w:t>
      </w:r>
      <w:r w:rsidR="00A20232" w:rsidRPr="003563CE">
        <w:rPr>
          <w:rFonts w:ascii="Times New Roman" w:eastAsia="Times New Roman" w:hAnsi="Times New Roman" w:cs="Times New Roman"/>
          <w:color w:val="auto"/>
          <w:sz w:val="22"/>
          <w:lang w:eastAsia="es-CO"/>
        </w:rPr>
        <w:t xml:space="preserve"> deficiencias de participación de varias sedes</w:t>
      </w:r>
      <w:r w:rsidR="006B0069" w:rsidRPr="003563CE">
        <w:rPr>
          <w:rFonts w:ascii="Times New Roman" w:eastAsia="Times New Roman" w:hAnsi="Times New Roman" w:cs="Times New Roman"/>
          <w:color w:val="auto"/>
          <w:sz w:val="22"/>
          <w:lang w:eastAsia="es-CO"/>
        </w:rPr>
        <w:t xml:space="preserve">, </w:t>
      </w:r>
      <w:r w:rsidR="00A20232" w:rsidRPr="003563CE">
        <w:rPr>
          <w:rFonts w:ascii="Times New Roman" w:eastAsia="Times New Roman" w:hAnsi="Times New Roman" w:cs="Times New Roman"/>
          <w:color w:val="auto"/>
          <w:sz w:val="22"/>
          <w:lang w:eastAsia="es-CO"/>
        </w:rPr>
        <w:t>entidades</w:t>
      </w:r>
      <w:r w:rsidR="006B0069" w:rsidRPr="003563CE">
        <w:rPr>
          <w:rFonts w:ascii="Times New Roman" w:eastAsia="Times New Roman" w:hAnsi="Times New Roman" w:cs="Times New Roman"/>
          <w:color w:val="auto"/>
          <w:sz w:val="22"/>
          <w:lang w:eastAsia="es-CO"/>
        </w:rPr>
        <w:t xml:space="preserve"> y actores</w:t>
      </w:r>
      <w:r w:rsidR="00A20232" w:rsidRPr="003563CE">
        <w:rPr>
          <w:rFonts w:ascii="Times New Roman" w:eastAsia="Times New Roman" w:hAnsi="Times New Roman" w:cs="Times New Roman"/>
          <w:color w:val="auto"/>
          <w:sz w:val="22"/>
          <w:lang w:eastAsia="es-CO"/>
        </w:rPr>
        <w:t xml:space="preserve"> en el proceso de formulación de los diseños.</w:t>
      </w:r>
    </w:p>
    <w:p w14:paraId="74BE2997" w14:textId="51B0BCCF" w:rsidR="00A20232" w:rsidRDefault="00A20232" w:rsidP="00A20232">
      <w:pPr>
        <w:pStyle w:val="Default"/>
        <w:jc w:val="both"/>
        <w:rPr>
          <w:rFonts w:ascii="Times New Roman" w:eastAsia="Times New Roman" w:hAnsi="Times New Roman" w:cs="Times New Roman"/>
          <w:color w:val="auto"/>
          <w:sz w:val="22"/>
          <w:lang w:eastAsia="es-CO"/>
        </w:rPr>
      </w:pPr>
    </w:p>
    <w:p w14:paraId="275945FD" w14:textId="6C1F3696" w:rsidR="000A2A49" w:rsidRPr="000A2A49" w:rsidRDefault="000A2A49" w:rsidP="000A2A49">
      <w:pPr>
        <w:pStyle w:val="Default"/>
        <w:numPr>
          <w:ilvl w:val="0"/>
          <w:numId w:val="77"/>
        </w:numPr>
        <w:ind w:left="284" w:hanging="284"/>
        <w:jc w:val="both"/>
        <w:rPr>
          <w:rFonts w:ascii="Times New Roman" w:eastAsia="Times New Roman" w:hAnsi="Times New Roman" w:cs="Times New Roman"/>
          <w:b/>
          <w:i/>
          <w:color w:val="auto"/>
          <w:sz w:val="22"/>
          <w:lang w:eastAsia="es-CO"/>
        </w:rPr>
      </w:pPr>
      <w:r>
        <w:rPr>
          <w:rFonts w:ascii="Times New Roman" w:eastAsia="Times New Roman" w:hAnsi="Times New Roman" w:cs="Times New Roman"/>
          <w:b/>
          <w:i/>
          <w:color w:val="auto"/>
          <w:sz w:val="22"/>
          <w:lang w:eastAsia="es-CO"/>
        </w:rPr>
        <w:t>Componente Técnico</w:t>
      </w:r>
      <w:r w:rsidRPr="000A2A49">
        <w:rPr>
          <w:rFonts w:ascii="Times New Roman" w:eastAsia="Times New Roman" w:hAnsi="Times New Roman" w:cs="Times New Roman"/>
          <w:b/>
          <w:i/>
          <w:color w:val="auto"/>
          <w:sz w:val="22"/>
          <w:lang w:eastAsia="es-CO"/>
        </w:rPr>
        <w:t>:</w:t>
      </w:r>
    </w:p>
    <w:p w14:paraId="044822F3" w14:textId="77777777" w:rsidR="000A2A49" w:rsidRDefault="000A2A49" w:rsidP="004E2AB1">
      <w:pPr>
        <w:pStyle w:val="Default"/>
        <w:ind w:left="284"/>
        <w:jc w:val="both"/>
        <w:rPr>
          <w:rFonts w:ascii="Times New Roman" w:eastAsia="Times New Roman" w:hAnsi="Times New Roman" w:cs="Times New Roman"/>
          <w:color w:val="auto"/>
          <w:sz w:val="22"/>
          <w:lang w:eastAsia="es-CO"/>
        </w:rPr>
      </w:pPr>
    </w:p>
    <w:p w14:paraId="5D7EB6D6" w14:textId="4754B5B5" w:rsidR="00745CA8" w:rsidRDefault="000A2A49" w:rsidP="004E2AB1">
      <w:pPr>
        <w:pStyle w:val="Default"/>
        <w:ind w:left="284"/>
        <w:jc w:val="both"/>
        <w:rPr>
          <w:rFonts w:ascii="Times New Roman" w:eastAsia="Times New Roman" w:hAnsi="Times New Roman" w:cs="Times New Roman"/>
          <w:color w:val="auto"/>
          <w:sz w:val="22"/>
          <w:lang w:eastAsia="es-CO"/>
        </w:rPr>
      </w:pPr>
      <w:r>
        <w:rPr>
          <w:rFonts w:ascii="Times New Roman" w:eastAsia="Times New Roman" w:hAnsi="Times New Roman" w:cs="Times New Roman"/>
          <w:color w:val="auto"/>
          <w:sz w:val="22"/>
          <w:lang w:eastAsia="es-CO"/>
        </w:rPr>
        <w:t>S</w:t>
      </w:r>
      <w:r w:rsidR="00745CA8" w:rsidRPr="003563CE">
        <w:rPr>
          <w:rFonts w:ascii="Times New Roman" w:eastAsia="Times New Roman" w:hAnsi="Times New Roman" w:cs="Times New Roman"/>
          <w:color w:val="auto"/>
          <w:sz w:val="22"/>
          <w:lang w:eastAsia="es-CO"/>
        </w:rPr>
        <w:t xml:space="preserve">e extracta del documento </w:t>
      </w:r>
      <w:r w:rsidR="00745CA8" w:rsidRPr="003563CE">
        <w:rPr>
          <w:rFonts w:ascii="Times New Roman" w:eastAsia="Times New Roman" w:hAnsi="Times New Roman" w:cs="Times New Roman"/>
          <w:i/>
          <w:color w:val="auto"/>
          <w:sz w:val="22"/>
          <w:lang w:eastAsia="es-CO"/>
        </w:rPr>
        <w:t>“Componente espacial proyecto Complejo de la Salud julio de 2018”</w:t>
      </w:r>
      <w:r>
        <w:rPr>
          <w:rFonts w:ascii="Times New Roman" w:eastAsia="Times New Roman" w:hAnsi="Times New Roman" w:cs="Times New Roman"/>
          <w:color w:val="auto"/>
          <w:sz w:val="22"/>
          <w:lang w:eastAsia="es-CO"/>
        </w:rPr>
        <w:t>:</w:t>
      </w:r>
    </w:p>
    <w:p w14:paraId="4D39D56C" w14:textId="77777777" w:rsidR="003563CE" w:rsidRDefault="003563CE" w:rsidP="004E2AB1">
      <w:pPr>
        <w:pStyle w:val="Default"/>
        <w:ind w:left="567"/>
        <w:jc w:val="both"/>
        <w:rPr>
          <w:rFonts w:ascii="Times New Roman" w:eastAsia="Times New Roman" w:hAnsi="Times New Roman" w:cs="Times New Roman"/>
          <w:color w:val="auto"/>
          <w:sz w:val="22"/>
          <w:lang w:eastAsia="es-CO"/>
        </w:rPr>
      </w:pPr>
    </w:p>
    <w:p w14:paraId="4E95183C" w14:textId="68E2BD22" w:rsidR="00AA2B35" w:rsidRPr="000A2A49" w:rsidRDefault="00AA2B35" w:rsidP="004E2AB1">
      <w:pPr>
        <w:pStyle w:val="Default"/>
        <w:ind w:left="567" w:right="424"/>
        <w:jc w:val="both"/>
        <w:rPr>
          <w:rFonts w:ascii="Times New Roman" w:eastAsia="Times New Roman" w:hAnsi="Times New Roman" w:cs="Times New Roman"/>
          <w:i/>
          <w:color w:val="auto"/>
          <w:sz w:val="18"/>
          <w:lang w:eastAsia="es-CO"/>
        </w:rPr>
      </w:pPr>
      <w:r w:rsidRPr="000A2A49">
        <w:rPr>
          <w:rFonts w:ascii="Times New Roman" w:eastAsia="Times New Roman" w:hAnsi="Times New Roman" w:cs="Times New Roman"/>
          <w:i/>
          <w:color w:val="auto"/>
          <w:sz w:val="18"/>
          <w:lang w:eastAsia="es-CO"/>
        </w:rPr>
        <w:t>El 11 de julio de 2018 se eleva consulta al Departamento Adm</w:t>
      </w:r>
      <w:r w:rsidR="00C70410" w:rsidRPr="000A2A49">
        <w:rPr>
          <w:rFonts w:ascii="Times New Roman" w:eastAsia="Times New Roman" w:hAnsi="Times New Roman" w:cs="Times New Roman"/>
          <w:i/>
          <w:color w:val="auto"/>
          <w:sz w:val="18"/>
          <w:lang w:eastAsia="es-CO"/>
        </w:rPr>
        <w:t xml:space="preserve">inistrativo de Planeación – DAP. </w:t>
      </w:r>
      <w:r w:rsidRPr="000A2A49">
        <w:rPr>
          <w:rFonts w:ascii="Times New Roman" w:eastAsia="Times New Roman" w:hAnsi="Times New Roman" w:cs="Times New Roman"/>
          <w:i/>
          <w:color w:val="auto"/>
          <w:sz w:val="18"/>
          <w:lang w:eastAsia="es-CO"/>
        </w:rPr>
        <w:t xml:space="preserve"> El proyecto se encuentra en etapa</w:t>
      </w:r>
      <w:r w:rsidR="00501D48" w:rsidRPr="000A2A49">
        <w:rPr>
          <w:rFonts w:ascii="Times New Roman" w:eastAsia="Times New Roman" w:hAnsi="Times New Roman" w:cs="Times New Roman"/>
          <w:i/>
          <w:color w:val="auto"/>
          <w:sz w:val="18"/>
          <w:lang w:eastAsia="es-CO"/>
        </w:rPr>
        <w:t xml:space="preserve"> de anteproyecto arquitectónico.  </w:t>
      </w:r>
      <w:r w:rsidRPr="000A2A49">
        <w:rPr>
          <w:rFonts w:ascii="Times New Roman" w:eastAsia="Times New Roman" w:hAnsi="Times New Roman" w:cs="Times New Roman"/>
          <w:i/>
          <w:color w:val="auto"/>
          <w:sz w:val="18"/>
          <w:lang w:eastAsia="es-CO"/>
        </w:rPr>
        <w:t>En el proceso de diseño arquitectónico se presentaron algunas inquietudes por parte del equipo diseñador (UT SM + Síntesis), desde el tema de aplicación normativa, especialmente respecto a las obligaciones urbanísticas en el costado sur (nueva vía) y de la normativa aplicable en ambientes escolares, específicamente</w:t>
      </w:r>
      <w:r w:rsidR="00556C97" w:rsidRPr="000A2A49">
        <w:rPr>
          <w:rFonts w:ascii="Times New Roman" w:eastAsia="Times New Roman" w:hAnsi="Times New Roman" w:cs="Times New Roman"/>
          <w:i/>
          <w:color w:val="auto"/>
          <w:sz w:val="18"/>
          <w:lang w:eastAsia="es-CO"/>
        </w:rPr>
        <w:t xml:space="preserve"> qué</w:t>
      </w:r>
      <w:r w:rsidR="00600749" w:rsidRPr="000A2A49">
        <w:rPr>
          <w:rFonts w:ascii="Times New Roman" w:eastAsia="Times New Roman" w:hAnsi="Times New Roman" w:cs="Times New Roman"/>
          <w:i/>
          <w:color w:val="auto"/>
          <w:sz w:val="18"/>
          <w:lang w:eastAsia="es-CO"/>
        </w:rPr>
        <w:t xml:space="preserve"> </w:t>
      </w:r>
      <w:r w:rsidRPr="000A2A49">
        <w:rPr>
          <w:rFonts w:ascii="Times New Roman" w:eastAsia="Times New Roman" w:hAnsi="Times New Roman" w:cs="Times New Roman"/>
          <w:i/>
          <w:color w:val="auto"/>
          <w:sz w:val="18"/>
          <w:lang w:eastAsia="es-CO"/>
        </w:rPr>
        <w:t>directrices para el diseño y la construcción de nuevos ambientes universitarios.</w:t>
      </w:r>
      <w:r w:rsidR="00600749" w:rsidRPr="000A2A49">
        <w:rPr>
          <w:rFonts w:ascii="Times New Roman" w:eastAsia="Times New Roman" w:hAnsi="Times New Roman" w:cs="Times New Roman"/>
          <w:i/>
          <w:color w:val="auto"/>
          <w:sz w:val="18"/>
          <w:lang w:eastAsia="es-CO"/>
        </w:rPr>
        <w:t xml:space="preserve"> </w:t>
      </w:r>
      <w:r w:rsidR="00501D48" w:rsidRPr="000A2A49">
        <w:rPr>
          <w:rFonts w:ascii="Times New Roman" w:eastAsia="Times New Roman" w:hAnsi="Times New Roman" w:cs="Times New Roman"/>
          <w:i/>
          <w:color w:val="auto"/>
          <w:sz w:val="18"/>
          <w:lang w:eastAsia="es-CO"/>
        </w:rPr>
        <w:t>Luego de esta consulta, es pre</w:t>
      </w:r>
      <w:r w:rsidR="00C70410" w:rsidRPr="000A2A49">
        <w:rPr>
          <w:rFonts w:ascii="Times New Roman" w:eastAsia="Times New Roman" w:hAnsi="Times New Roman" w:cs="Times New Roman"/>
          <w:i/>
          <w:color w:val="auto"/>
          <w:sz w:val="18"/>
          <w:lang w:eastAsia="es-CO"/>
        </w:rPr>
        <w:t>oc</w:t>
      </w:r>
      <w:r w:rsidR="00501D48" w:rsidRPr="000A2A49">
        <w:rPr>
          <w:rFonts w:ascii="Times New Roman" w:eastAsia="Times New Roman" w:hAnsi="Times New Roman" w:cs="Times New Roman"/>
          <w:i/>
          <w:color w:val="auto"/>
          <w:sz w:val="18"/>
          <w:lang w:eastAsia="es-CO"/>
        </w:rPr>
        <w:t xml:space="preserve">upante la conclusión de lo analizado en el documento: </w:t>
      </w:r>
      <w:r w:rsidR="00C70410" w:rsidRPr="000A2A49">
        <w:rPr>
          <w:rFonts w:ascii="Times New Roman" w:eastAsia="Times New Roman" w:hAnsi="Times New Roman" w:cs="Times New Roman"/>
          <w:i/>
          <w:color w:val="auto"/>
          <w:sz w:val="18"/>
          <w:lang w:eastAsia="es-CO"/>
        </w:rPr>
        <w:t>"</w:t>
      </w:r>
      <w:r w:rsidRPr="000A2A49">
        <w:rPr>
          <w:rFonts w:ascii="Times New Roman" w:eastAsia="Times New Roman" w:hAnsi="Times New Roman" w:cs="Times New Roman"/>
          <w:i/>
          <w:color w:val="auto"/>
          <w:sz w:val="18"/>
          <w:lang w:eastAsia="es-CO"/>
        </w:rPr>
        <w:t>Como es evidente, con las condiciones actuales, el proyecto, definiéndose como educativo, no podría cumplir con las áreas libres recreativas mínimas dentro de los lotes a intervenir, por lo que solicitamos aclaración a la norma por parte del Departamento Administrativo de Planeación Municipal, teniendo en cuenta que la sede principal de la Universidad cuenta con las áreas libres suficientes y está localizada en un lote aledaño al del proyecto en desarrollo</w:t>
      </w:r>
      <w:r w:rsidR="00C70410" w:rsidRPr="000A2A49">
        <w:rPr>
          <w:rFonts w:ascii="Times New Roman" w:eastAsia="Times New Roman" w:hAnsi="Times New Roman" w:cs="Times New Roman"/>
          <w:i/>
          <w:color w:val="auto"/>
          <w:sz w:val="18"/>
          <w:lang w:eastAsia="es-CO"/>
        </w:rPr>
        <w:t>”</w:t>
      </w:r>
    </w:p>
    <w:p w14:paraId="3E5043ED" w14:textId="77777777" w:rsidR="007547C0" w:rsidRDefault="007547C0" w:rsidP="004E2AB1">
      <w:pPr>
        <w:ind w:left="284"/>
        <w:rPr>
          <w:sz w:val="22"/>
          <w:highlight w:val="yellow"/>
        </w:rPr>
      </w:pPr>
    </w:p>
    <w:p w14:paraId="73CF98DA" w14:textId="38515D15" w:rsidR="00F3193F" w:rsidRPr="003A7278" w:rsidRDefault="000A2A49" w:rsidP="004E2AB1">
      <w:pPr>
        <w:ind w:left="284"/>
        <w:jc w:val="both"/>
        <w:rPr>
          <w:sz w:val="22"/>
        </w:rPr>
      </w:pPr>
      <w:r>
        <w:rPr>
          <w:sz w:val="22"/>
        </w:rPr>
        <w:t>En consideración con</w:t>
      </w:r>
      <w:r w:rsidRPr="00764D38">
        <w:rPr>
          <w:sz w:val="22"/>
        </w:rPr>
        <w:t xml:space="preserve"> </w:t>
      </w:r>
      <w:r w:rsidR="00745CA8" w:rsidRPr="00764D38">
        <w:rPr>
          <w:sz w:val="22"/>
        </w:rPr>
        <w:t>lo anterior, se observa</w:t>
      </w:r>
      <w:r w:rsidR="00764D38" w:rsidRPr="00764D38">
        <w:rPr>
          <w:sz w:val="22"/>
        </w:rPr>
        <w:t xml:space="preserve"> una posible</w:t>
      </w:r>
      <w:r w:rsidR="00745CA8" w:rsidRPr="00764D38">
        <w:rPr>
          <w:sz w:val="22"/>
        </w:rPr>
        <w:t xml:space="preserve"> falta de seguimiento desde lo administrativo a las consultas elevadas por los técnicos </w:t>
      </w:r>
      <w:r w:rsidR="00745CA8" w:rsidRPr="003A7278">
        <w:rPr>
          <w:sz w:val="22"/>
        </w:rPr>
        <w:t xml:space="preserve">y </w:t>
      </w:r>
      <w:r w:rsidR="003A7278" w:rsidRPr="003A7278">
        <w:rPr>
          <w:sz w:val="22"/>
        </w:rPr>
        <w:t xml:space="preserve">consideramos </w:t>
      </w:r>
      <w:r w:rsidR="00745CA8" w:rsidRPr="003A7278">
        <w:rPr>
          <w:sz w:val="22"/>
        </w:rPr>
        <w:t>deben ser atendidas con carácter urgente.</w:t>
      </w:r>
    </w:p>
    <w:p w14:paraId="44CC58FE" w14:textId="1A04A970" w:rsidR="007547C0" w:rsidRDefault="007547C0" w:rsidP="00745CA8">
      <w:pPr>
        <w:pStyle w:val="Default"/>
        <w:jc w:val="right"/>
        <w:rPr>
          <w:rFonts w:ascii="Times New Roman" w:eastAsia="Times New Roman" w:hAnsi="Times New Roman" w:cs="Times New Roman"/>
          <w:color w:val="FF0000"/>
          <w:sz w:val="22"/>
          <w:highlight w:val="yellow"/>
          <w:lang w:eastAsia="es-CO"/>
        </w:rPr>
      </w:pPr>
    </w:p>
    <w:p w14:paraId="33EB80C0" w14:textId="720EED83" w:rsidR="004E2AB1" w:rsidRPr="000A2A49" w:rsidRDefault="004E2AB1" w:rsidP="004E2AB1">
      <w:pPr>
        <w:pStyle w:val="Default"/>
        <w:numPr>
          <w:ilvl w:val="0"/>
          <w:numId w:val="77"/>
        </w:numPr>
        <w:ind w:left="284" w:hanging="284"/>
        <w:jc w:val="both"/>
        <w:rPr>
          <w:rFonts w:ascii="Times New Roman" w:eastAsia="Times New Roman" w:hAnsi="Times New Roman" w:cs="Times New Roman"/>
          <w:b/>
          <w:i/>
          <w:color w:val="auto"/>
          <w:sz w:val="22"/>
          <w:lang w:eastAsia="es-CO"/>
        </w:rPr>
      </w:pPr>
      <w:r>
        <w:rPr>
          <w:rFonts w:ascii="Times New Roman" w:eastAsia="Times New Roman" w:hAnsi="Times New Roman" w:cs="Times New Roman"/>
          <w:b/>
          <w:i/>
          <w:color w:val="auto"/>
          <w:sz w:val="22"/>
          <w:lang w:eastAsia="es-CO"/>
        </w:rPr>
        <w:t>Componente Social</w:t>
      </w:r>
      <w:r w:rsidRPr="000A2A49">
        <w:rPr>
          <w:rFonts w:ascii="Times New Roman" w:eastAsia="Times New Roman" w:hAnsi="Times New Roman" w:cs="Times New Roman"/>
          <w:b/>
          <w:i/>
          <w:color w:val="auto"/>
          <w:sz w:val="22"/>
          <w:lang w:eastAsia="es-CO"/>
        </w:rPr>
        <w:t>:</w:t>
      </w:r>
    </w:p>
    <w:p w14:paraId="3FE4EBE1" w14:textId="77777777" w:rsidR="004E2AB1" w:rsidRDefault="004E2AB1" w:rsidP="00745CA8">
      <w:pPr>
        <w:pStyle w:val="Default"/>
        <w:jc w:val="right"/>
        <w:rPr>
          <w:rFonts w:ascii="Times New Roman" w:eastAsia="Times New Roman" w:hAnsi="Times New Roman" w:cs="Times New Roman"/>
          <w:color w:val="FF0000"/>
          <w:sz w:val="22"/>
          <w:highlight w:val="yellow"/>
          <w:lang w:eastAsia="es-CO"/>
        </w:rPr>
      </w:pPr>
    </w:p>
    <w:p w14:paraId="4F94497B" w14:textId="73853462" w:rsidR="004E2AB1" w:rsidRDefault="004E2AB1" w:rsidP="00764D38">
      <w:pPr>
        <w:pStyle w:val="Default"/>
        <w:ind w:left="284" w:right="424"/>
        <w:jc w:val="both"/>
        <w:rPr>
          <w:rFonts w:ascii="Times New Roman" w:eastAsia="Times New Roman" w:hAnsi="Times New Roman" w:cs="Times New Roman"/>
          <w:color w:val="auto"/>
          <w:sz w:val="22"/>
          <w:lang w:eastAsia="es-CO"/>
        </w:rPr>
      </w:pPr>
      <w:r>
        <w:rPr>
          <w:rFonts w:ascii="Times New Roman" w:eastAsia="Times New Roman" w:hAnsi="Times New Roman" w:cs="Times New Roman"/>
          <w:color w:val="auto"/>
          <w:sz w:val="22"/>
          <w:lang w:eastAsia="es-CO"/>
        </w:rPr>
        <w:t>El</w:t>
      </w:r>
      <w:r w:rsidR="007547C0">
        <w:rPr>
          <w:rFonts w:ascii="Times New Roman" w:eastAsia="Times New Roman" w:hAnsi="Times New Roman" w:cs="Times New Roman"/>
          <w:color w:val="auto"/>
          <w:sz w:val="22"/>
          <w:lang w:eastAsia="es-CO"/>
        </w:rPr>
        <w:t xml:space="preserve"> documento </w:t>
      </w:r>
      <w:r w:rsidR="007547C0" w:rsidRPr="00D30002">
        <w:rPr>
          <w:rFonts w:ascii="Times New Roman" w:eastAsia="Times New Roman" w:hAnsi="Times New Roman" w:cs="Times New Roman"/>
          <w:i/>
          <w:color w:val="auto"/>
          <w:sz w:val="22"/>
          <w:lang w:eastAsia="es-CO"/>
        </w:rPr>
        <w:t>“Componente espacial proyecto Complejo de la Salud julio de 2018”</w:t>
      </w:r>
      <w:r w:rsidR="007547C0">
        <w:rPr>
          <w:rFonts w:ascii="Times New Roman" w:eastAsia="Times New Roman" w:hAnsi="Times New Roman" w:cs="Times New Roman"/>
          <w:i/>
          <w:color w:val="auto"/>
          <w:sz w:val="22"/>
          <w:lang w:eastAsia="es-CO"/>
        </w:rPr>
        <w:t xml:space="preserve">, </w:t>
      </w:r>
      <w:r>
        <w:rPr>
          <w:rFonts w:ascii="Times New Roman" w:eastAsia="Times New Roman" w:hAnsi="Times New Roman" w:cs="Times New Roman"/>
          <w:color w:val="auto"/>
          <w:sz w:val="22"/>
          <w:lang w:eastAsia="es-CO"/>
        </w:rPr>
        <w:t>evidencia</w:t>
      </w:r>
      <w:r w:rsidR="007547C0" w:rsidRPr="003C644D">
        <w:rPr>
          <w:rFonts w:ascii="Times New Roman" w:eastAsia="Times New Roman" w:hAnsi="Times New Roman" w:cs="Times New Roman"/>
          <w:color w:val="auto"/>
          <w:sz w:val="22"/>
          <w:lang w:eastAsia="es-CO"/>
        </w:rPr>
        <w:t xml:space="preserve">: </w:t>
      </w:r>
    </w:p>
    <w:p w14:paraId="2124B734" w14:textId="77777777" w:rsidR="004E2AB1" w:rsidRDefault="004E2AB1" w:rsidP="00764D38">
      <w:pPr>
        <w:pStyle w:val="Default"/>
        <w:ind w:left="284" w:right="424"/>
        <w:jc w:val="both"/>
        <w:rPr>
          <w:rFonts w:ascii="Times New Roman" w:eastAsia="Times New Roman" w:hAnsi="Times New Roman" w:cs="Times New Roman"/>
          <w:i/>
          <w:color w:val="auto"/>
          <w:sz w:val="22"/>
          <w:lang w:eastAsia="es-CO"/>
        </w:rPr>
      </w:pPr>
    </w:p>
    <w:p w14:paraId="61EB7907" w14:textId="0878E638" w:rsidR="00764D38" w:rsidRPr="004E2AB1" w:rsidRDefault="007547C0" w:rsidP="004E2AB1">
      <w:pPr>
        <w:pStyle w:val="Default"/>
        <w:ind w:left="567" w:right="424"/>
        <w:jc w:val="both"/>
        <w:rPr>
          <w:rFonts w:ascii="Times New Roman" w:eastAsia="Times New Roman" w:hAnsi="Times New Roman" w:cs="Times New Roman"/>
          <w:i/>
          <w:color w:val="auto"/>
          <w:sz w:val="18"/>
          <w:lang w:eastAsia="es-CO"/>
        </w:rPr>
      </w:pPr>
      <w:r w:rsidRPr="004E2AB1">
        <w:rPr>
          <w:rFonts w:ascii="Times New Roman" w:eastAsia="Times New Roman" w:hAnsi="Times New Roman" w:cs="Times New Roman"/>
          <w:i/>
          <w:color w:val="auto"/>
          <w:sz w:val="18"/>
          <w:lang w:eastAsia="es-CO"/>
        </w:rPr>
        <w:t>“…en una próxima etapa del proceso donde se tendrá una interlocución directa con las comunidades académicas de las dependencias, para socialización de los diseños (planos) iniciales, se verificará que las necesidades de cada espacio estén satisfactoriamente reflejadas en el diseño y en caso necesario, se realizarán los ajustes pertinentes.”</w:t>
      </w:r>
      <w:r w:rsidR="00764D38" w:rsidRPr="004E2AB1">
        <w:rPr>
          <w:rFonts w:ascii="Times New Roman" w:eastAsia="Times New Roman" w:hAnsi="Times New Roman" w:cs="Times New Roman"/>
          <w:i/>
          <w:color w:val="auto"/>
          <w:sz w:val="18"/>
          <w:lang w:eastAsia="es-CO"/>
        </w:rPr>
        <w:t xml:space="preserve"> .” Resaltado fuera de texto</w:t>
      </w:r>
    </w:p>
    <w:p w14:paraId="1E1478CF" w14:textId="687BC6F4" w:rsidR="007547C0" w:rsidRDefault="007547C0" w:rsidP="00177D30">
      <w:pPr>
        <w:pStyle w:val="Default"/>
        <w:ind w:left="284"/>
        <w:jc w:val="both"/>
        <w:rPr>
          <w:rFonts w:ascii="Times New Roman" w:eastAsia="Times New Roman" w:hAnsi="Times New Roman" w:cs="Times New Roman"/>
          <w:color w:val="auto"/>
          <w:sz w:val="22"/>
          <w:lang w:eastAsia="es-CO"/>
        </w:rPr>
      </w:pPr>
    </w:p>
    <w:p w14:paraId="6F8C6404" w14:textId="3C93ED94" w:rsidR="007547C0" w:rsidRPr="003A7278" w:rsidRDefault="007547C0" w:rsidP="00177D30">
      <w:pPr>
        <w:pStyle w:val="Default"/>
        <w:ind w:left="284"/>
        <w:jc w:val="both"/>
        <w:rPr>
          <w:rFonts w:ascii="Times New Roman" w:eastAsia="Times New Roman" w:hAnsi="Times New Roman" w:cs="Times New Roman"/>
          <w:color w:val="auto"/>
          <w:sz w:val="22"/>
          <w:lang w:eastAsia="es-CO"/>
        </w:rPr>
      </w:pPr>
      <w:r w:rsidRPr="003A7278">
        <w:rPr>
          <w:rFonts w:ascii="Times New Roman" w:eastAsia="Times New Roman" w:hAnsi="Times New Roman" w:cs="Times New Roman"/>
          <w:color w:val="auto"/>
          <w:sz w:val="22"/>
          <w:lang w:eastAsia="es-CO"/>
        </w:rPr>
        <w:t>Esto evidencia la necesidad de promulgar los avances e incluir participativamente la comunidad académica y en particular los directivos de las sedes.</w:t>
      </w:r>
    </w:p>
    <w:p w14:paraId="010C8D91" w14:textId="77777777" w:rsidR="00D50CBB" w:rsidRDefault="00D50CBB" w:rsidP="00745CA8">
      <w:pPr>
        <w:rPr>
          <w:b/>
          <w:color w:val="385623" w:themeColor="accent6" w:themeShade="80"/>
          <w:sz w:val="22"/>
          <w:szCs w:val="22"/>
          <w:u w:val="single"/>
        </w:rPr>
      </w:pPr>
    </w:p>
    <w:p w14:paraId="57660065" w14:textId="28C59039" w:rsidR="005866D2" w:rsidRPr="00BE1E17" w:rsidRDefault="005866D2" w:rsidP="00BE1E17">
      <w:pPr>
        <w:rPr>
          <w:b/>
          <w:color w:val="385623" w:themeColor="accent6" w:themeShade="80"/>
          <w:sz w:val="22"/>
          <w:szCs w:val="22"/>
          <w:u w:val="single"/>
        </w:rPr>
      </w:pPr>
      <w:r w:rsidRPr="00BE1E17">
        <w:rPr>
          <w:b/>
          <w:color w:val="385623" w:themeColor="accent6" w:themeShade="80"/>
          <w:sz w:val="22"/>
          <w:szCs w:val="22"/>
          <w:u w:val="single"/>
        </w:rPr>
        <w:lastRenderedPageBreak/>
        <w:t>Riesgo</w:t>
      </w:r>
    </w:p>
    <w:p w14:paraId="0DA24AFF" w14:textId="64E1188F" w:rsidR="009A22BA" w:rsidRDefault="009A22BA" w:rsidP="00443FC5">
      <w:pPr>
        <w:pStyle w:val="Default"/>
        <w:jc w:val="both"/>
        <w:rPr>
          <w:rFonts w:ascii="Times New Roman" w:eastAsia="Times New Roman" w:hAnsi="Times New Roman" w:cs="Times New Roman"/>
          <w:color w:val="auto"/>
          <w:sz w:val="22"/>
          <w:lang w:eastAsia="es-CO"/>
        </w:rPr>
      </w:pPr>
    </w:p>
    <w:p w14:paraId="2A780B8E" w14:textId="7D3BD00B" w:rsidR="00694550" w:rsidRPr="00371ACF" w:rsidRDefault="00694550" w:rsidP="00177D30">
      <w:pPr>
        <w:pStyle w:val="Default"/>
        <w:numPr>
          <w:ilvl w:val="0"/>
          <w:numId w:val="78"/>
        </w:numPr>
        <w:ind w:left="284" w:hanging="284"/>
        <w:jc w:val="both"/>
        <w:rPr>
          <w:rFonts w:ascii="Times New Roman" w:eastAsia="Times New Roman" w:hAnsi="Times New Roman" w:cs="Times New Roman"/>
          <w:color w:val="auto"/>
          <w:sz w:val="22"/>
          <w:lang w:eastAsia="es-CO"/>
        </w:rPr>
      </w:pPr>
      <w:r w:rsidRPr="00371ACF">
        <w:rPr>
          <w:rFonts w:ascii="Times New Roman" w:eastAsia="Times New Roman" w:hAnsi="Times New Roman" w:cs="Times New Roman"/>
          <w:color w:val="auto"/>
          <w:sz w:val="22"/>
          <w:lang w:eastAsia="es-CO"/>
        </w:rPr>
        <w:t xml:space="preserve">Posibles deficiencias en la planeación </w:t>
      </w:r>
      <w:r w:rsidR="00D71D42" w:rsidRPr="00D71D42">
        <w:rPr>
          <w:rFonts w:ascii="Times New Roman" w:eastAsia="Times New Roman" w:hAnsi="Times New Roman" w:cs="Times New Roman"/>
          <w:color w:val="auto"/>
          <w:sz w:val="22"/>
          <w:lang w:eastAsia="es-CO"/>
        </w:rPr>
        <w:t>del proyecto y ejecución de los diseños, ya que la interrupción de la etapa arquitectónica afecta el resto del proyecto.</w:t>
      </w:r>
    </w:p>
    <w:p w14:paraId="06B66006" w14:textId="77777777" w:rsidR="00694550" w:rsidRDefault="00694550" w:rsidP="00177D30">
      <w:pPr>
        <w:pStyle w:val="Default"/>
        <w:ind w:left="284" w:hanging="284"/>
        <w:jc w:val="both"/>
        <w:rPr>
          <w:rFonts w:ascii="Times New Roman" w:eastAsia="Times New Roman" w:hAnsi="Times New Roman" w:cs="Times New Roman"/>
          <w:color w:val="auto"/>
          <w:sz w:val="22"/>
          <w:lang w:eastAsia="es-CO"/>
        </w:rPr>
      </w:pPr>
    </w:p>
    <w:p w14:paraId="2009DC8C" w14:textId="363A682D" w:rsidR="0043123F" w:rsidRPr="00473DAE" w:rsidRDefault="00177D30" w:rsidP="00473DAE">
      <w:pPr>
        <w:pStyle w:val="Default"/>
        <w:numPr>
          <w:ilvl w:val="0"/>
          <w:numId w:val="78"/>
        </w:numPr>
        <w:ind w:left="284" w:hanging="284"/>
        <w:jc w:val="both"/>
        <w:rPr>
          <w:rFonts w:ascii="Times New Roman" w:eastAsia="Times New Roman" w:hAnsi="Times New Roman" w:cs="Times New Roman"/>
          <w:color w:val="auto"/>
          <w:sz w:val="22"/>
          <w:lang w:eastAsia="es-CO"/>
        </w:rPr>
      </w:pPr>
      <w:r>
        <w:rPr>
          <w:rFonts w:ascii="Times New Roman" w:eastAsia="Times New Roman" w:hAnsi="Times New Roman" w:cs="Times New Roman"/>
          <w:color w:val="auto"/>
          <w:sz w:val="22"/>
          <w:lang w:eastAsia="es-CO"/>
        </w:rPr>
        <w:t xml:space="preserve">Riesgo operativo del proyecto. </w:t>
      </w:r>
      <w:r w:rsidRPr="00473DAE">
        <w:rPr>
          <w:rFonts w:ascii="Times New Roman" w:eastAsia="Times New Roman" w:hAnsi="Times New Roman" w:cs="Times New Roman"/>
          <w:color w:val="auto"/>
          <w:sz w:val="22"/>
          <w:lang w:eastAsia="es-CO"/>
        </w:rPr>
        <w:t>Lo anterior, en consideración a que s</w:t>
      </w:r>
      <w:r w:rsidR="00C545F9" w:rsidRPr="00473DAE">
        <w:rPr>
          <w:rFonts w:ascii="Times New Roman" w:eastAsia="Times New Roman" w:hAnsi="Times New Roman" w:cs="Times New Roman"/>
          <w:color w:val="auto"/>
          <w:sz w:val="22"/>
          <w:lang w:eastAsia="es-CO"/>
        </w:rPr>
        <w:t>i bien</w:t>
      </w:r>
      <w:r w:rsidR="009A22BA" w:rsidRPr="00473DAE">
        <w:rPr>
          <w:rFonts w:ascii="Times New Roman" w:eastAsia="Times New Roman" w:hAnsi="Times New Roman" w:cs="Times New Roman"/>
          <w:color w:val="auto"/>
          <w:sz w:val="22"/>
          <w:lang w:eastAsia="es-CO"/>
        </w:rPr>
        <w:t>,</w:t>
      </w:r>
      <w:r w:rsidR="00C545F9" w:rsidRPr="00473DAE">
        <w:rPr>
          <w:rFonts w:ascii="Times New Roman" w:eastAsia="Times New Roman" w:hAnsi="Times New Roman" w:cs="Times New Roman"/>
          <w:color w:val="auto"/>
          <w:sz w:val="22"/>
          <w:lang w:eastAsia="es-CO"/>
        </w:rPr>
        <w:t xml:space="preserve"> hay un diagnóstico que avala la formulación y ejecución del </w:t>
      </w:r>
      <w:r w:rsidR="00BE1E17" w:rsidRPr="00473DAE">
        <w:rPr>
          <w:rFonts w:ascii="Times New Roman" w:eastAsia="Times New Roman" w:hAnsi="Times New Roman" w:cs="Times New Roman"/>
          <w:color w:val="auto"/>
          <w:sz w:val="22"/>
          <w:lang w:eastAsia="es-CO"/>
        </w:rPr>
        <w:t>proyecto</w:t>
      </w:r>
      <w:r w:rsidR="00C545F9" w:rsidRPr="00473DAE">
        <w:rPr>
          <w:rFonts w:ascii="Times New Roman" w:eastAsia="Times New Roman" w:hAnsi="Times New Roman" w:cs="Times New Roman"/>
          <w:color w:val="auto"/>
          <w:sz w:val="22"/>
          <w:lang w:eastAsia="es-CO"/>
        </w:rPr>
        <w:t>, se evidencian contrariedades político-</w:t>
      </w:r>
      <w:r w:rsidR="006B0069" w:rsidRPr="00473DAE">
        <w:rPr>
          <w:rFonts w:ascii="Times New Roman" w:eastAsia="Times New Roman" w:hAnsi="Times New Roman" w:cs="Times New Roman"/>
          <w:color w:val="auto"/>
          <w:sz w:val="22"/>
          <w:lang w:eastAsia="es-CO"/>
        </w:rPr>
        <w:t>administrativas</w:t>
      </w:r>
      <w:r w:rsidR="0043123F" w:rsidRPr="00473DAE">
        <w:rPr>
          <w:rFonts w:ascii="Times New Roman" w:eastAsia="Times New Roman" w:hAnsi="Times New Roman" w:cs="Times New Roman"/>
          <w:color w:val="auto"/>
          <w:sz w:val="22"/>
          <w:lang w:eastAsia="es-CO"/>
        </w:rPr>
        <w:t xml:space="preserve"> (</w:t>
      </w:r>
      <w:r w:rsidR="0043123F" w:rsidRPr="00473DAE">
        <w:rPr>
          <w:rFonts w:ascii="Times New Roman" w:eastAsia="Times New Roman" w:hAnsi="Times New Roman" w:cs="Times New Roman"/>
          <w:i/>
          <w:color w:val="auto"/>
          <w:sz w:val="22"/>
          <w:lang w:eastAsia="es-CO"/>
        </w:rPr>
        <w:t>debilidades administrativas</w:t>
      </w:r>
      <w:r w:rsidR="0043123F" w:rsidRPr="00473DAE">
        <w:rPr>
          <w:rFonts w:ascii="Times New Roman" w:eastAsia="Times New Roman" w:hAnsi="Times New Roman" w:cs="Times New Roman"/>
          <w:color w:val="auto"/>
          <w:sz w:val="22"/>
          <w:lang w:eastAsia="es-CO"/>
        </w:rPr>
        <w:t>)</w:t>
      </w:r>
      <w:r w:rsidR="006B0069" w:rsidRPr="00473DAE">
        <w:rPr>
          <w:rFonts w:ascii="Times New Roman" w:eastAsia="Times New Roman" w:hAnsi="Times New Roman" w:cs="Times New Roman"/>
          <w:color w:val="auto"/>
          <w:sz w:val="22"/>
          <w:lang w:eastAsia="es-CO"/>
        </w:rPr>
        <w:t xml:space="preserve">, </w:t>
      </w:r>
      <w:r w:rsidR="0043123F" w:rsidRPr="00473DAE">
        <w:rPr>
          <w:rFonts w:ascii="Times New Roman" w:eastAsia="Times New Roman" w:hAnsi="Times New Roman" w:cs="Times New Roman"/>
          <w:color w:val="auto"/>
          <w:sz w:val="22"/>
          <w:lang w:eastAsia="es-CO"/>
        </w:rPr>
        <w:t>que</w:t>
      </w:r>
      <w:r w:rsidR="00C545F9" w:rsidRPr="00473DAE">
        <w:rPr>
          <w:rFonts w:ascii="Times New Roman" w:eastAsia="Times New Roman" w:hAnsi="Times New Roman" w:cs="Times New Roman"/>
          <w:color w:val="auto"/>
          <w:sz w:val="22"/>
          <w:lang w:eastAsia="es-CO"/>
        </w:rPr>
        <w:t xml:space="preserve"> deben quedar subsanadas por completo en esta fase</w:t>
      </w:r>
      <w:r w:rsidRPr="00473DAE">
        <w:rPr>
          <w:rFonts w:ascii="Times New Roman" w:eastAsia="Times New Roman" w:hAnsi="Times New Roman" w:cs="Times New Roman"/>
          <w:color w:val="auto"/>
          <w:sz w:val="22"/>
          <w:lang w:eastAsia="es-CO"/>
        </w:rPr>
        <w:t xml:space="preserve"> y de</w:t>
      </w:r>
      <w:r w:rsidR="00C545F9" w:rsidRPr="00473DAE">
        <w:rPr>
          <w:rFonts w:ascii="Times New Roman" w:eastAsia="Times New Roman" w:hAnsi="Times New Roman" w:cs="Times New Roman"/>
          <w:color w:val="auto"/>
          <w:sz w:val="22"/>
          <w:lang w:eastAsia="es-CO"/>
        </w:rPr>
        <w:t xml:space="preserve"> no hacerlo puede convertirse a futuro en una </w:t>
      </w:r>
      <w:r w:rsidR="009A22BA" w:rsidRPr="00473DAE">
        <w:rPr>
          <w:rFonts w:ascii="Times New Roman" w:eastAsia="Times New Roman" w:hAnsi="Times New Roman" w:cs="Times New Roman"/>
          <w:color w:val="auto"/>
          <w:sz w:val="22"/>
          <w:lang w:eastAsia="es-CO"/>
        </w:rPr>
        <w:t xml:space="preserve">deficiente </w:t>
      </w:r>
      <w:r w:rsidR="006B0069" w:rsidRPr="00473DAE">
        <w:rPr>
          <w:rFonts w:ascii="Times New Roman" w:eastAsia="Times New Roman" w:hAnsi="Times New Roman" w:cs="Times New Roman"/>
          <w:color w:val="auto"/>
          <w:sz w:val="22"/>
          <w:lang w:eastAsia="es-CO"/>
        </w:rPr>
        <w:t xml:space="preserve">planeación, por la no </w:t>
      </w:r>
      <w:r w:rsidR="009A22BA" w:rsidRPr="00473DAE">
        <w:rPr>
          <w:rFonts w:ascii="Times New Roman" w:eastAsia="Times New Roman" w:hAnsi="Times New Roman" w:cs="Times New Roman"/>
          <w:color w:val="auto"/>
          <w:sz w:val="22"/>
          <w:lang w:eastAsia="es-CO"/>
        </w:rPr>
        <w:t xml:space="preserve">concepción </w:t>
      </w:r>
      <w:r w:rsidR="006B0069" w:rsidRPr="00473DAE">
        <w:rPr>
          <w:rFonts w:ascii="Times New Roman" w:eastAsia="Times New Roman" w:hAnsi="Times New Roman" w:cs="Times New Roman"/>
          <w:color w:val="auto"/>
          <w:sz w:val="22"/>
          <w:lang w:eastAsia="es-CO"/>
        </w:rPr>
        <w:t xml:space="preserve">completa </w:t>
      </w:r>
      <w:r w:rsidR="009A22BA" w:rsidRPr="00473DAE">
        <w:rPr>
          <w:rFonts w:ascii="Times New Roman" w:eastAsia="Times New Roman" w:hAnsi="Times New Roman" w:cs="Times New Roman"/>
          <w:color w:val="auto"/>
          <w:sz w:val="22"/>
          <w:lang w:eastAsia="es-CO"/>
        </w:rPr>
        <w:t>de necesidades reales</w:t>
      </w:r>
      <w:r w:rsidR="006B0069" w:rsidRPr="00473DAE">
        <w:rPr>
          <w:rFonts w:ascii="Times New Roman" w:eastAsia="Times New Roman" w:hAnsi="Times New Roman" w:cs="Times New Roman"/>
          <w:color w:val="auto"/>
          <w:sz w:val="22"/>
          <w:lang w:eastAsia="es-CO"/>
        </w:rPr>
        <w:t>,</w:t>
      </w:r>
      <w:r w:rsidR="009A22BA" w:rsidRPr="00473DAE">
        <w:rPr>
          <w:rFonts w:ascii="Times New Roman" w:eastAsia="Times New Roman" w:hAnsi="Times New Roman" w:cs="Times New Roman"/>
          <w:color w:val="auto"/>
          <w:sz w:val="22"/>
          <w:lang w:eastAsia="es-CO"/>
        </w:rPr>
        <w:t xml:space="preserve"> no percibidas por los arquitectos y que </w:t>
      </w:r>
      <w:r w:rsidRPr="00473DAE">
        <w:rPr>
          <w:rFonts w:ascii="Times New Roman" w:eastAsia="Times New Roman" w:hAnsi="Times New Roman" w:cs="Times New Roman"/>
          <w:color w:val="auto"/>
          <w:sz w:val="22"/>
          <w:lang w:eastAsia="es-CO"/>
        </w:rPr>
        <w:t>son</w:t>
      </w:r>
      <w:r w:rsidR="009A22BA" w:rsidRPr="00473DAE">
        <w:rPr>
          <w:rFonts w:ascii="Times New Roman" w:eastAsia="Times New Roman" w:hAnsi="Times New Roman" w:cs="Times New Roman"/>
          <w:color w:val="auto"/>
          <w:sz w:val="22"/>
          <w:lang w:eastAsia="es-CO"/>
        </w:rPr>
        <w:t xml:space="preserve"> parte de los saberes</w:t>
      </w:r>
      <w:r w:rsidR="006B0069" w:rsidRPr="00473DAE">
        <w:rPr>
          <w:rFonts w:ascii="Times New Roman" w:eastAsia="Times New Roman" w:hAnsi="Times New Roman" w:cs="Times New Roman"/>
          <w:color w:val="auto"/>
          <w:sz w:val="22"/>
          <w:lang w:eastAsia="es-CO"/>
        </w:rPr>
        <w:t xml:space="preserve"> de los funcionarios</w:t>
      </w:r>
      <w:r w:rsidR="009A22BA" w:rsidRPr="00473DAE">
        <w:rPr>
          <w:rFonts w:ascii="Times New Roman" w:eastAsia="Times New Roman" w:hAnsi="Times New Roman" w:cs="Times New Roman"/>
          <w:color w:val="auto"/>
          <w:sz w:val="22"/>
          <w:lang w:eastAsia="es-CO"/>
        </w:rPr>
        <w:t xml:space="preserve"> de cada una de las sedes.  </w:t>
      </w:r>
      <w:r w:rsidR="00C545F9" w:rsidRPr="00473DAE">
        <w:rPr>
          <w:rFonts w:ascii="Times New Roman" w:eastAsia="Times New Roman" w:hAnsi="Times New Roman" w:cs="Times New Roman"/>
          <w:color w:val="auto"/>
          <w:sz w:val="22"/>
          <w:lang w:eastAsia="es-CO"/>
        </w:rPr>
        <w:t xml:space="preserve"> </w:t>
      </w:r>
    </w:p>
    <w:p w14:paraId="04AC569C" w14:textId="77777777" w:rsidR="0043123F" w:rsidRDefault="0043123F" w:rsidP="00177D30">
      <w:pPr>
        <w:pStyle w:val="Default"/>
        <w:ind w:left="284" w:hanging="284"/>
        <w:jc w:val="both"/>
        <w:rPr>
          <w:rFonts w:ascii="Times New Roman" w:eastAsia="Times New Roman" w:hAnsi="Times New Roman" w:cs="Times New Roman"/>
          <w:color w:val="auto"/>
          <w:sz w:val="22"/>
          <w:lang w:eastAsia="es-CO"/>
        </w:rPr>
      </w:pPr>
    </w:p>
    <w:p w14:paraId="68DAA778" w14:textId="1EDE4E11" w:rsidR="005866D2" w:rsidRPr="0043123F" w:rsidRDefault="00177D30" w:rsidP="00177D30">
      <w:pPr>
        <w:pStyle w:val="Default"/>
        <w:numPr>
          <w:ilvl w:val="0"/>
          <w:numId w:val="78"/>
        </w:numPr>
        <w:ind w:left="284" w:hanging="284"/>
        <w:jc w:val="both"/>
        <w:rPr>
          <w:rFonts w:ascii="Times New Roman" w:eastAsia="Times New Roman" w:hAnsi="Times New Roman" w:cs="Times New Roman"/>
          <w:color w:val="auto"/>
          <w:sz w:val="22"/>
          <w:lang w:eastAsia="es-CO"/>
        </w:rPr>
      </w:pPr>
      <w:r>
        <w:rPr>
          <w:rFonts w:ascii="Times New Roman" w:eastAsia="Times New Roman" w:hAnsi="Times New Roman" w:cs="Times New Roman"/>
          <w:color w:val="auto"/>
          <w:sz w:val="22"/>
          <w:lang w:eastAsia="es-CO"/>
        </w:rPr>
        <w:t>Riesgo operativo del proyecto. En consideración a l</w:t>
      </w:r>
      <w:r w:rsidR="00C545F9" w:rsidRPr="0043123F">
        <w:rPr>
          <w:rFonts w:ascii="Times New Roman" w:eastAsia="Times New Roman" w:hAnsi="Times New Roman" w:cs="Times New Roman"/>
          <w:color w:val="auto"/>
          <w:sz w:val="22"/>
          <w:lang w:eastAsia="es-CO"/>
        </w:rPr>
        <w:t>a</w:t>
      </w:r>
      <w:r w:rsidR="009A22BA" w:rsidRPr="0043123F">
        <w:rPr>
          <w:rFonts w:ascii="Times New Roman" w:eastAsia="Times New Roman" w:hAnsi="Times New Roman" w:cs="Times New Roman"/>
          <w:color w:val="auto"/>
          <w:sz w:val="22"/>
          <w:lang w:eastAsia="es-CO"/>
        </w:rPr>
        <w:t xml:space="preserve"> no inclusión permanente y la</w:t>
      </w:r>
      <w:r w:rsidR="006B0069" w:rsidRPr="0043123F">
        <w:rPr>
          <w:rFonts w:ascii="Times New Roman" w:eastAsia="Times New Roman" w:hAnsi="Times New Roman" w:cs="Times New Roman"/>
          <w:color w:val="auto"/>
          <w:sz w:val="22"/>
          <w:lang w:eastAsia="es-CO"/>
        </w:rPr>
        <w:t xml:space="preserve"> no</w:t>
      </w:r>
      <w:r w:rsidR="009A22BA" w:rsidRPr="0043123F">
        <w:rPr>
          <w:rFonts w:ascii="Times New Roman" w:eastAsia="Times New Roman" w:hAnsi="Times New Roman" w:cs="Times New Roman"/>
          <w:color w:val="auto"/>
          <w:sz w:val="22"/>
          <w:lang w:eastAsia="es-CO"/>
        </w:rPr>
        <w:t xml:space="preserve"> </w:t>
      </w:r>
      <w:r w:rsidR="004E3F9B" w:rsidRPr="0043123F">
        <w:rPr>
          <w:rFonts w:ascii="Times New Roman" w:eastAsia="Times New Roman" w:hAnsi="Times New Roman" w:cs="Times New Roman"/>
          <w:color w:val="auto"/>
          <w:sz w:val="22"/>
          <w:lang w:eastAsia="es-CO"/>
        </w:rPr>
        <w:t>participación</w:t>
      </w:r>
      <w:r w:rsidR="009A22BA" w:rsidRPr="0043123F">
        <w:rPr>
          <w:rFonts w:ascii="Times New Roman" w:eastAsia="Times New Roman" w:hAnsi="Times New Roman" w:cs="Times New Roman"/>
          <w:color w:val="auto"/>
          <w:sz w:val="22"/>
          <w:lang w:eastAsia="es-CO"/>
        </w:rPr>
        <w:t xml:space="preserve"> </w:t>
      </w:r>
      <w:r w:rsidR="00C545F9" w:rsidRPr="0043123F">
        <w:rPr>
          <w:rFonts w:ascii="Times New Roman" w:eastAsia="Times New Roman" w:hAnsi="Times New Roman" w:cs="Times New Roman"/>
          <w:color w:val="auto"/>
          <w:sz w:val="22"/>
          <w:lang w:eastAsia="es-CO"/>
        </w:rPr>
        <w:t>de todas las dependencias involucradas,</w:t>
      </w:r>
      <w:r w:rsidR="009A22BA" w:rsidRPr="0043123F">
        <w:rPr>
          <w:rFonts w:ascii="Times New Roman" w:eastAsia="Times New Roman" w:hAnsi="Times New Roman" w:cs="Times New Roman"/>
          <w:color w:val="auto"/>
          <w:sz w:val="22"/>
          <w:lang w:eastAsia="es-CO"/>
        </w:rPr>
        <w:t xml:space="preserve"> podr</w:t>
      </w:r>
      <w:r>
        <w:rPr>
          <w:rFonts w:ascii="Times New Roman" w:eastAsia="Times New Roman" w:hAnsi="Times New Roman" w:cs="Times New Roman"/>
          <w:color w:val="auto"/>
          <w:sz w:val="22"/>
          <w:lang w:eastAsia="es-CO"/>
        </w:rPr>
        <w:t>ía</w:t>
      </w:r>
      <w:r w:rsidR="009A22BA" w:rsidRPr="0043123F">
        <w:rPr>
          <w:rFonts w:ascii="Times New Roman" w:eastAsia="Times New Roman" w:hAnsi="Times New Roman" w:cs="Times New Roman"/>
          <w:color w:val="auto"/>
          <w:sz w:val="22"/>
          <w:lang w:eastAsia="es-CO"/>
        </w:rPr>
        <w:t xml:space="preserve"> generar deficiencias en la formulación final del proyecto.  </w:t>
      </w:r>
      <w:r w:rsidR="009A22BA" w:rsidRPr="00473DAE">
        <w:rPr>
          <w:rFonts w:ascii="Times New Roman" w:eastAsia="Times New Roman" w:hAnsi="Times New Roman" w:cs="Times New Roman"/>
          <w:color w:val="auto"/>
          <w:sz w:val="22"/>
          <w:lang w:eastAsia="es-CO"/>
        </w:rPr>
        <w:t>Por el contrario, la inclusión de todas las sedes</w:t>
      </w:r>
      <w:r w:rsidR="00C545F9" w:rsidRPr="00473DAE">
        <w:rPr>
          <w:rFonts w:ascii="Times New Roman" w:eastAsia="Times New Roman" w:hAnsi="Times New Roman" w:cs="Times New Roman"/>
          <w:color w:val="auto"/>
          <w:sz w:val="22"/>
          <w:lang w:eastAsia="es-CO"/>
        </w:rPr>
        <w:t xml:space="preserve"> a</w:t>
      </w:r>
      <w:r w:rsidR="009A22BA" w:rsidRPr="00473DAE">
        <w:rPr>
          <w:rFonts w:ascii="Times New Roman" w:eastAsia="Times New Roman" w:hAnsi="Times New Roman" w:cs="Times New Roman"/>
          <w:color w:val="auto"/>
          <w:sz w:val="22"/>
          <w:lang w:eastAsia="es-CO"/>
        </w:rPr>
        <w:t xml:space="preserve">yudará además de la adecuada planeación, </w:t>
      </w:r>
      <w:r w:rsidR="00C545F9" w:rsidRPr="00473DAE">
        <w:rPr>
          <w:rFonts w:ascii="Times New Roman" w:eastAsia="Times New Roman" w:hAnsi="Times New Roman" w:cs="Times New Roman"/>
          <w:color w:val="auto"/>
          <w:sz w:val="22"/>
          <w:lang w:eastAsia="es-CO"/>
        </w:rPr>
        <w:t>al proceso de transición desde la concepción y construcción</w:t>
      </w:r>
      <w:r w:rsidR="006B0069" w:rsidRPr="00473DAE">
        <w:rPr>
          <w:rFonts w:ascii="Times New Roman" w:eastAsia="Times New Roman" w:hAnsi="Times New Roman" w:cs="Times New Roman"/>
          <w:color w:val="auto"/>
          <w:sz w:val="22"/>
          <w:lang w:eastAsia="es-CO"/>
        </w:rPr>
        <w:t>,</w:t>
      </w:r>
      <w:r w:rsidR="00C545F9" w:rsidRPr="00473DAE">
        <w:rPr>
          <w:rFonts w:ascii="Times New Roman" w:eastAsia="Times New Roman" w:hAnsi="Times New Roman" w:cs="Times New Roman"/>
          <w:color w:val="auto"/>
          <w:sz w:val="22"/>
          <w:lang w:eastAsia="es-CO"/>
        </w:rPr>
        <w:t xml:space="preserve"> hasta el traslado físico y “mental” de las sedes y su puesta en funcionamiento.</w:t>
      </w:r>
      <w:r w:rsidR="00C545F9" w:rsidRPr="0043123F">
        <w:rPr>
          <w:rFonts w:ascii="Times New Roman" w:eastAsia="Times New Roman" w:hAnsi="Times New Roman" w:cs="Times New Roman"/>
          <w:color w:val="auto"/>
          <w:sz w:val="22"/>
          <w:lang w:eastAsia="es-CO"/>
        </w:rPr>
        <w:t xml:space="preserve">  </w:t>
      </w:r>
    </w:p>
    <w:p w14:paraId="4711A6B1" w14:textId="77777777" w:rsidR="00694550" w:rsidRDefault="00694550" w:rsidP="00177D30">
      <w:pPr>
        <w:pStyle w:val="Default"/>
        <w:ind w:left="284" w:hanging="284"/>
        <w:jc w:val="both"/>
        <w:rPr>
          <w:rFonts w:ascii="Times New Roman" w:eastAsia="Times New Roman" w:hAnsi="Times New Roman" w:cs="Times New Roman"/>
          <w:color w:val="auto"/>
          <w:sz w:val="22"/>
          <w:lang w:eastAsia="es-CO"/>
        </w:rPr>
      </w:pPr>
    </w:p>
    <w:p w14:paraId="01D789CC" w14:textId="157230E5" w:rsidR="00501D48" w:rsidRDefault="00694550" w:rsidP="00177D30">
      <w:pPr>
        <w:pStyle w:val="Default"/>
        <w:numPr>
          <w:ilvl w:val="0"/>
          <w:numId w:val="78"/>
        </w:numPr>
        <w:ind w:left="284" w:hanging="284"/>
        <w:jc w:val="both"/>
        <w:rPr>
          <w:rFonts w:ascii="Times New Roman" w:eastAsia="Times New Roman" w:hAnsi="Times New Roman" w:cs="Times New Roman"/>
          <w:color w:val="auto"/>
          <w:sz w:val="22"/>
          <w:lang w:eastAsia="es-CO"/>
        </w:rPr>
      </w:pPr>
      <w:r>
        <w:rPr>
          <w:rFonts w:ascii="Times New Roman" w:eastAsia="Times New Roman" w:hAnsi="Times New Roman" w:cs="Times New Roman"/>
          <w:color w:val="auto"/>
          <w:sz w:val="22"/>
          <w:lang w:eastAsia="es-CO"/>
        </w:rPr>
        <w:t>P</w:t>
      </w:r>
      <w:r w:rsidR="00501D48" w:rsidRPr="00BE1E17">
        <w:rPr>
          <w:rFonts w:ascii="Times New Roman" w:eastAsia="Times New Roman" w:hAnsi="Times New Roman" w:cs="Times New Roman"/>
          <w:color w:val="auto"/>
          <w:sz w:val="22"/>
          <w:lang w:eastAsia="es-CO"/>
        </w:rPr>
        <w:t xml:space="preserve">osibles </w:t>
      </w:r>
      <w:r w:rsidR="00177D30">
        <w:rPr>
          <w:rFonts w:ascii="Times New Roman" w:eastAsia="Times New Roman" w:hAnsi="Times New Roman" w:cs="Times New Roman"/>
          <w:color w:val="auto"/>
          <w:sz w:val="22"/>
          <w:lang w:eastAsia="es-CO"/>
        </w:rPr>
        <w:t xml:space="preserve">deficiencias </w:t>
      </w:r>
      <w:r>
        <w:rPr>
          <w:rFonts w:ascii="Times New Roman" w:eastAsia="Times New Roman" w:hAnsi="Times New Roman" w:cs="Times New Roman"/>
          <w:color w:val="auto"/>
          <w:sz w:val="22"/>
          <w:lang w:eastAsia="es-CO"/>
        </w:rPr>
        <w:t>administrativas</w:t>
      </w:r>
      <w:r w:rsidR="00BE1E17">
        <w:rPr>
          <w:rFonts w:ascii="Times New Roman" w:eastAsia="Times New Roman" w:hAnsi="Times New Roman" w:cs="Times New Roman"/>
          <w:color w:val="auto"/>
          <w:sz w:val="22"/>
          <w:lang w:eastAsia="es-CO"/>
        </w:rPr>
        <w:t xml:space="preserve"> por parte de la CIS en la ejecución del contrato de mandato</w:t>
      </w:r>
      <w:r w:rsidR="00501D48" w:rsidRPr="00BE1E17">
        <w:rPr>
          <w:rFonts w:ascii="Times New Roman" w:eastAsia="Times New Roman" w:hAnsi="Times New Roman" w:cs="Times New Roman"/>
          <w:color w:val="auto"/>
          <w:sz w:val="22"/>
          <w:lang w:eastAsia="es-CO"/>
        </w:rPr>
        <w:t>, pues el no pago por labor cumplida</w:t>
      </w:r>
      <w:r w:rsidR="00BE1E17">
        <w:rPr>
          <w:rFonts w:ascii="Times New Roman" w:eastAsia="Times New Roman" w:hAnsi="Times New Roman" w:cs="Times New Roman"/>
          <w:color w:val="auto"/>
          <w:sz w:val="22"/>
          <w:lang w:eastAsia="es-CO"/>
        </w:rPr>
        <w:t xml:space="preserve"> a los diseñadores</w:t>
      </w:r>
      <w:r w:rsidR="00177D30">
        <w:rPr>
          <w:rFonts w:ascii="Times New Roman" w:eastAsia="Times New Roman" w:hAnsi="Times New Roman" w:cs="Times New Roman"/>
          <w:color w:val="auto"/>
          <w:sz w:val="22"/>
          <w:lang w:eastAsia="es-CO"/>
        </w:rPr>
        <w:t>,</w:t>
      </w:r>
      <w:r w:rsidR="00501D48" w:rsidRPr="00BE1E17">
        <w:rPr>
          <w:rFonts w:ascii="Times New Roman" w:eastAsia="Times New Roman" w:hAnsi="Times New Roman" w:cs="Times New Roman"/>
          <w:color w:val="auto"/>
          <w:sz w:val="22"/>
          <w:lang w:eastAsia="es-CO"/>
        </w:rPr>
        <w:t xml:space="preserve"> pu</w:t>
      </w:r>
      <w:r w:rsidR="00177D30">
        <w:rPr>
          <w:rFonts w:ascii="Times New Roman" w:eastAsia="Times New Roman" w:hAnsi="Times New Roman" w:cs="Times New Roman"/>
          <w:color w:val="auto"/>
          <w:sz w:val="22"/>
          <w:lang w:eastAsia="es-CO"/>
        </w:rPr>
        <w:t>e</w:t>
      </w:r>
      <w:r w:rsidR="00501D48" w:rsidRPr="00BE1E17">
        <w:rPr>
          <w:rFonts w:ascii="Times New Roman" w:eastAsia="Times New Roman" w:hAnsi="Times New Roman" w:cs="Times New Roman"/>
          <w:color w:val="auto"/>
          <w:sz w:val="22"/>
          <w:lang w:eastAsia="es-CO"/>
        </w:rPr>
        <w:t>de</w:t>
      </w:r>
      <w:r w:rsidR="00BE1E17">
        <w:rPr>
          <w:rFonts w:ascii="Times New Roman" w:eastAsia="Times New Roman" w:hAnsi="Times New Roman" w:cs="Times New Roman"/>
          <w:color w:val="auto"/>
          <w:sz w:val="22"/>
          <w:lang w:eastAsia="es-CO"/>
        </w:rPr>
        <w:t xml:space="preserve"> </w:t>
      </w:r>
      <w:r w:rsidR="00177D30">
        <w:rPr>
          <w:rFonts w:ascii="Times New Roman" w:eastAsia="Times New Roman" w:hAnsi="Times New Roman" w:cs="Times New Roman"/>
          <w:color w:val="auto"/>
          <w:sz w:val="22"/>
          <w:lang w:eastAsia="es-CO"/>
        </w:rPr>
        <w:t>originar</w:t>
      </w:r>
      <w:r w:rsidR="00BE1E17">
        <w:rPr>
          <w:rFonts w:ascii="Times New Roman" w:eastAsia="Times New Roman" w:hAnsi="Times New Roman" w:cs="Times New Roman"/>
          <w:color w:val="auto"/>
          <w:sz w:val="22"/>
          <w:lang w:eastAsia="es-CO"/>
        </w:rPr>
        <w:t xml:space="preserve"> consecuencias</w:t>
      </w:r>
      <w:r w:rsidR="00177D30">
        <w:rPr>
          <w:rFonts w:ascii="Times New Roman" w:eastAsia="Times New Roman" w:hAnsi="Times New Roman" w:cs="Times New Roman"/>
          <w:color w:val="auto"/>
          <w:sz w:val="22"/>
          <w:lang w:eastAsia="es-CO"/>
        </w:rPr>
        <w:t>,</w:t>
      </w:r>
      <w:r w:rsidR="00BE1E17">
        <w:rPr>
          <w:rFonts w:ascii="Times New Roman" w:eastAsia="Times New Roman" w:hAnsi="Times New Roman" w:cs="Times New Roman"/>
          <w:color w:val="auto"/>
          <w:sz w:val="22"/>
          <w:lang w:eastAsia="es-CO"/>
        </w:rPr>
        <w:t xml:space="preserve"> </w:t>
      </w:r>
      <w:r w:rsidR="00177D30">
        <w:rPr>
          <w:rFonts w:ascii="Times New Roman" w:eastAsia="Times New Roman" w:hAnsi="Times New Roman" w:cs="Times New Roman"/>
          <w:color w:val="auto"/>
          <w:sz w:val="22"/>
          <w:lang w:eastAsia="es-CO"/>
        </w:rPr>
        <w:t>incurrir en</w:t>
      </w:r>
      <w:r w:rsidR="00501D48" w:rsidRPr="00BE1E17">
        <w:rPr>
          <w:rFonts w:ascii="Times New Roman" w:eastAsia="Times New Roman" w:hAnsi="Times New Roman" w:cs="Times New Roman"/>
          <w:color w:val="auto"/>
          <w:sz w:val="22"/>
          <w:lang w:eastAsia="es-CO"/>
        </w:rPr>
        <w:t xml:space="preserve"> sanciones y</w:t>
      </w:r>
      <w:r w:rsidR="00177D30">
        <w:rPr>
          <w:rFonts w:ascii="Times New Roman" w:eastAsia="Times New Roman" w:hAnsi="Times New Roman" w:cs="Times New Roman"/>
          <w:color w:val="auto"/>
          <w:sz w:val="22"/>
          <w:lang w:eastAsia="es-CO"/>
        </w:rPr>
        <w:t>/o</w:t>
      </w:r>
      <w:r w:rsidR="00501D48" w:rsidRPr="00BE1E17">
        <w:rPr>
          <w:rFonts w:ascii="Times New Roman" w:eastAsia="Times New Roman" w:hAnsi="Times New Roman" w:cs="Times New Roman"/>
          <w:color w:val="auto"/>
          <w:sz w:val="22"/>
          <w:lang w:eastAsia="es-CO"/>
        </w:rPr>
        <w:t xml:space="preserve"> demandas.</w:t>
      </w:r>
      <w:r w:rsidR="00501D48" w:rsidRPr="00264906">
        <w:rPr>
          <w:rFonts w:ascii="Times New Roman" w:eastAsia="Times New Roman" w:hAnsi="Times New Roman" w:cs="Times New Roman"/>
          <w:color w:val="auto"/>
          <w:sz w:val="22"/>
          <w:lang w:eastAsia="es-CO"/>
        </w:rPr>
        <w:t xml:space="preserve">  </w:t>
      </w:r>
    </w:p>
    <w:p w14:paraId="3DF98D04" w14:textId="5731B21E" w:rsidR="005866D2" w:rsidRDefault="005866D2" w:rsidP="00443FC5">
      <w:pPr>
        <w:pStyle w:val="Default"/>
        <w:jc w:val="both"/>
        <w:rPr>
          <w:rFonts w:ascii="Times New Roman" w:eastAsia="Times New Roman" w:hAnsi="Times New Roman" w:cs="Times New Roman"/>
          <w:color w:val="auto"/>
          <w:sz w:val="22"/>
          <w:lang w:eastAsia="es-CO"/>
        </w:rPr>
      </w:pPr>
    </w:p>
    <w:p w14:paraId="1E9D4CBE" w14:textId="77777777" w:rsidR="005866D2" w:rsidRDefault="005866D2" w:rsidP="005866D2">
      <w:pPr>
        <w:jc w:val="both"/>
        <w:rPr>
          <w:b/>
          <w:color w:val="385623" w:themeColor="accent6" w:themeShade="80"/>
          <w:sz w:val="22"/>
        </w:rPr>
      </w:pPr>
    </w:p>
    <w:p w14:paraId="1395E905" w14:textId="77777777" w:rsidR="005866D2" w:rsidRPr="00BE1E17" w:rsidRDefault="005866D2" w:rsidP="00BE1E17">
      <w:pPr>
        <w:rPr>
          <w:b/>
          <w:color w:val="385623" w:themeColor="accent6" w:themeShade="80"/>
          <w:sz w:val="22"/>
          <w:szCs w:val="22"/>
          <w:u w:val="single"/>
        </w:rPr>
      </w:pPr>
      <w:r w:rsidRPr="00BE1E17">
        <w:rPr>
          <w:b/>
          <w:color w:val="385623" w:themeColor="accent6" w:themeShade="80"/>
          <w:sz w:val="22"/>
          <w:szCs w:val="22"/>
          <w:u w:val="single"/>
        </w:rPr>
        <w:t>Recomendación</w:t>
      </w:r>
    </w:p>
    <w:p w14:paraId="76B7FA1F" w14:textId="77777777" w:rsidR="004E3F9B" w:rsidRDefault="004E3F9B" w:rsidP="005866D2">
      <w:pPr>
        <w:pStyle w:val="Default"/>
        <w:jc w:val="both"/>
        <w:rPr>
          <w:rFonts w:ascii="Times New Roman" w:eastAsia="Times New Roman" w:hAnsi="Times New Roman" w:cs="Times New Roman"/>
          <w:color w:val="auto"/>
          <w:sz w:val="22"/>
          <w:lang w:eastAsia="es-CO"/>
        </w:rPr>
      </w:pPr>
    </w:p>
    <w:p w14:paraId="6DE8DF26" w14:textId="760FAAB7" w:rsidR="004E3F9B" w:rsidRDefault="004E3F9B" w:rsidP="004E3F9B">
      <w:pPr>
        <w:pStyle w:val="Default"/>
        <w:numPr>
          <w:ilvl w:val="0"/>
          <w:numId w:val="79"/>
        </w:numPr>
        <w:ind w:left="284" w:hanging="284"/>
        <w:jc w:val="both"/>
        <w:rPr>
          <w:rFonts w:ascii="Times New Roman" w:eastAsia="Times New Roman" w:hAnsi="Times New Roman" w:cs="Times New Roman"/>
          <w:color w:val="auto"/>
          <w:sz w:val="22"/>
          <w:lang w:eastAsia="es-CO"/>
        </w:rPr>
      </w:pPr>
      <w:r>
        <w:rPr>
          <w:rFonts w:ascii="Times New Roman" w:eastAsia="Times New Roman" w:hAnsi="Times New Roman" w:cs="Times New Roman"/>
          <w:color w:val="auto"/>
          <w:sz w:val="22"/>
          <w:lang w:eastAsia="es-CO"/>
        </w:rPr>
        <w:t>C</w:t>
      </w:r>
      <w:r w:rsidR="005866D2" w:rsidRPr="00413CED">
        <w:rPr>
          <w:rFonts w:ascii="Times New Roman" w:eastAsia="Times New Roman" w:hAnsi="Times New Roman" w:cs="Times New Roman"/>
          <w:color w:val="auto"/>
          <w:sz w:val="22"/>
          <w:lang w:eastAsia="es-CO"/>
        </w:rPr>
        <w:t>ontratar y subcontratar todas las etapas o fases de</w:t>
      </w:r>
      <w:r>
        <w:rPr>
          <w:rFonts w:ascii="Times New Roman" w:eastAsia="Times New Roman" w:hAnsi="Times New Roman" w:cs="Times New Roman"/>
          <w:color w:val="auto"/>
          <w:sz w:val="22"/>
          <w:lang w:eastAsia="es-CO"/>
        </w:rPr>
        <w:t>l</w:t>
      </w:r>
      <w:r w:rsidR="005866D2" w:rsidRPr="00413CED">
        <w:rPr>
          <w:rFonts w:ascii="Times New Roman" w:eastAsia="Times New Roman" w:hAnsi="Times New Roman" w:cs="Times New Roman"/>
          <w:color w:val="auto"/>
          <w:sz w:val="22"/>
          <w:lang w:eastAsia="es-CO"/>
        </w:rPr>
        <w:t xml:space="preserve"> proyecto, </w:t>
      </w:r>
      <w:r>
        <w:rPr>
          <w:rFonts w:ascii="Times New Roman" w:eastAsia="Times New Roman" w:hAnsi="Times New Roman" w:cs="Times New Roman"/>
          <w:color w:val="auto"/>
          <w:sz w:val="22"/>
          <w:lang w:eastAsia="es-CO"/>
        </w:rPr>
        <w:t xml:space="preserve">en consideración a </w:t>
      </w:r>
      <w:r w:rsidR="005866D2" w:rsidRPr="00413CED">
        <w:rPr>
          <w:rFonts w:ascii="Times New Roman" w:eastAsia="Times New Roman" w:hAnsi="Times New Roman" w:cs="Times New Roman"/>
          <w:color w:val="auto"/>
          <w:sz w:val="22"/>
          <w:lang w:eastAsia="es-CO"/>
        </w:rPr>
        <w:t>su</w:t>
      </w:r>
      <w:r w:rsidR="005866D2">
        <w:rPr>
          <w:rFonts w:ascii="Times New Roman" w:eastAsia="Times New Roman" w:hAnsi="Times New Roman" w:cs="Times New Roman"/>
          <w:color w:val="auto"/>
          <w:sz w:val="22"/>
          <w:lang w:eastAsia="es-CO"/>
        </w:rPr>
        <w:t xml:space="preserve"> complejidad,</w:t>
      </w:r>
      <w:r w:rsidR="005866D2" w:rsidRPr="00413CED">
        <w:rPr>
          <w:rFonts w:ascii="Times New Roman" w:eastAsia="Times New Roman" w:hAnsi="Times New Roman" w:cs="Times New Roman"/>
          <w:color w:val="auto"/>
          <w:sz w:val="22"/>
          <w:lang w:eastAsia="es-CO"/>
        </w:rPr>
        <w:t xml:space="preserve"> alta relevancia institucional y </w:t>
      </w:r>
      <w:r w:rsidR="005866D2">
        <w:rPr>
          <w:rFonts w:ascii="Times New Roman" w:eastAsia="Times New Roman" w:hAnsi="Times New Roman" w:cs="Times New Roman"/>
          <w:color w:val="auto"/>
          <w:sz w:val="22"/>
          <w:lang w:eastAsia="es-CO"/>
        </w:rPr>
        <w:t>altos costos desde la fase de diseños</w:t>
      </w:r>
      <w:r>
        <w:rPr>
          <w:rFonts w:ascii="Times New Roman" w:eastAsia="Times New Roman" w:hAnsi="Times New Roman" w:cs="Times New Roman"/>
          <w:color w:val="auto"/>
          <w:sz w:val="22"/>
          <w:lang w:eastAsia="es-CO"/>
        </w:rPr>
        <w:t>.</w:t>
      </w:r>
    </w:p>
    <w:p w14:paraId="058E18C6" w14:textId="77777777" w:rsidR="004E3F9B" w:rsidRDefault="004E3F9B" w:rsidP="00E1445F">
      <w:pPr>
        <w:pStyle w:val="Default"/>
        <w:ind w:left="284"/>
        <w:jc w:val="both"/>
        <w:rPr>
          <w:rFonts w:ascii="Times New Roman" w:eastAsia="Times New Roman" w:hAnsi="Times New Roman" w:cs="Times New Roman"/>
          <w:color w:val="auto"/>
          <w:sz w:val="22"/>
          <w:lang w:eastAsia="es-CO"/>
        </w:rPr>
      </w:pPr>
    </w:p>
    <w:p w14:paraId="79A7AA3D" w14:textId="4334C1AB" w:rsidR="005866D2" w:rsidRDefault="004E3F9B" w:rsidP="00E1445F">
      <w:pPr>
        <w:pStyle w:val="Default"/>
        <w:numPr>
          <w:ilvl w:val="0"/>
          <w:numId w:val="79"/>
        </w:numPr>
        <w:ind w:left="284" w:hanging="284"/>
        <w:jc w:val="both"/>
        <w:rPr>
          <w:rFonts w:ascii="Times New Roman" w:eastAsia="Times New Roman" w:hAnsi="Times New Roman" w:cs="Times New Roman"/>
          <w:color w:val="auto"/>
          <w:sz w:val="22"/>
          <w:lang w:eastAsia="es-CO"/>
        </w:rPr>
      </w:pPr>
      <w:r>
        <w:rPr>
          <w:rFonts w:ascii="Times New Roman" w:eastAsia="Times New Roman" w:hAnsi="Times New Roman" w:cs="Times New Roman"/>
          <w:color w:val="auto"/>
          <w:sz w:val="22"/>
          <w:lang w:eastAsia="es-CO"/>
        </w:rPr>
        <w:t xml:space="preserve">Evitar </w:t>
      </w:r>
      <w:r w:rsidR="005866D2" w:rsidRPr="00413CED">
        <w:rPr>
          <w:rFonts w:ascii="Times New Roman" w:eastAsia="Times New Roman" w:hAnsi="Times New Roman" w:cs="Times New Roman"/>
          <w:color w:val="auto"/>
          <w:sz w:val="22"/>
          <w:lang w:eastAsia="es-CO"/>
        </w:rPr>
        <w:t xml:space="preserve">descargar o sobrecargar funciones en las dependencias </w:t>
      </w:r>
      <w:r w:rsidR="005866D2">
        <w:rPr>
          <w:rFonts w:ascii="Times New Roman" w:eastAsia="Times New Roman" w:hAnsi="Times New Roman" w:cs="Times New Roman"/>
          <w:color w:val="auto"/>
          <w:sz w:val="22"/>
          <w:lang w:eastAsia="es-CO"/>
        </w:rPr>
        <w:t>propias de la Universidad</w:t>
      </w:r>
      <w:r>
        <w:rPr>
          <w:rFonts w:ascii="Times New Roman" w:eastAsia="Times New Roman" w:hAnsi="Times New Roman" w:cs="Times New Roman"/>
          <w:color w:val="auto"/>
          <w:sz w:val="22"/>
          <w:lang w:eastAsia="es-CO"/>
        </w:rPr>
        <w:t>, en consideración a que e</w:t>
      </w:r>
      <w:r w:rsidRPr="003A6A78">
        <w:rPr>
          <w:rFonts w:ascii="Times New Roman" w:eastAsia="Times New Roman" w:hAnsi="Times New Roman" w:cs="Times New Roman"/>
          <w:color w:val="auto"/>
          <w:sz w:val="22"/>
          <w:lang w:eastAsia="es-CO"/>
        </w:rPr>
        <w:t>n la</w:t>
      </w:r>
      <w:r w:rsidRPr="00264906">
        <w:rPr>
          <w:rFonts w:ascii="Times New Roman" w:eastAsia="Times New Roman" w:hAnsi="Times New Roman" w:cs="Times New Roman"/>
          <w:color w:val="auto"/>
          <w:sz w:val="22"/>
          <w:lang w:eastAsia="es-CO"/>
        </w:rPr>
        <w:t xml:space="preserve"> fase de diseños se ha detectado una gran debilidad en el seguimiento a los mismos, y redunda como una causa extra a los retrasos detectados.  </w:t>
      </w:r>
    </w:p>
    <w:p w14:paraId="29A39956" w14:textId="77777777" w:rsidR="005866D2" w:rsidRDefault="005866D2" w:rsidP="00E1445F">
      <w:pPr>
        <w:pStyle w:val="Default"/>
        <w:ind w:left="284" w:hanging="284"/>
        <w:jc w:val="both"/>
        <w:rPr>
          <w:rFonts w:ascii="Times New Roman" w:eastAsia="Times New Roman" w:hAnsi="Times New Roman" w:cs="Times New Roman"/>
          <w:color w:val="auto"/>
          <w:sz w:val="22"/>
          <w:lang w:eastAsia="es-CO"/>
        </w:rPr>
      </w:pPr>
    </w:p>
    <w:p w14:paraId="7DB56B33" w14:textId="1CCEC37A" w:rsidR="00A435EA" w:rsidRDefault="00A435EA" w:rsidP="00A435EA">
      <w:pPr>
        <w:pStyle w:val="Default"/>
        <w:numPr>
          <w:ilvl w:val="0"/>
          <w:numId w:val="81"/>
        </w:numPr>
        <w:ind w:left="284" w:hanging="284"/>
        <w:jc w:val="both"/>
        <w:rPr>
          <w:rFonts w:ascii="Times New Roman" w:eastAsia="Times New Roman" w:hAnsi="Times New Roman" w:cs="Times New Roman"/>
          <w:color w:val="auto"/>
          <w:sz w:val="22"/>
          <w:lang w:eastAsia="es-CO"/>
        </w:rPr>
      </w:pPr>
      <w:r>
        <w:rPr>
          <w:rFonts w:ascii="Times New Roman" w:eastAsia="Times New Roman" w:hAnsi="Times New Roman" w:cs="Times New Roman"/>
          <w:color w:val="auto"/>
          <w:sz w:val="22"/>
          <w:lang w:eastAsia="es-CO"/>
        </w:rPr>
        <w:t>F</w:t>
      </w:r>
      <w:r w:rsidR="00443FC5" w:rsidRPr="00264906">
        <w:rPr>
          <w:rFonts w:ascii="Times New Roman" w:eastAsia="Times New Roman" w:hAnsi="Times New Roman" w:cs="Times New Roman"/>
          <w:color w:val="auto"/>
          <w:sz w:val="22"/>
          <w:lang w:eastAsia="es-CO"/>
        </w:rPr>
        <w:t>ortalecer el componente de proyección social</w:t>
      </w:r>
      <w:r w:rsidR="00443FC5">
        <w:rPr>
          <w:rFonts w:ascii="Times New Roman" w:eastAsia="Times New Roman" w:hAnsi="Times New Roman" w:cs="Times New Roman"/>
          <w:color w:val="auto"/>
          <w:sz w:val="22"/>
          <w:lang w:eastAsia="es-CO"/>
        </w:rPr>
        <w:t xml:space="preserve"> contratando personal </w:t>
      </w:r>
      <w:r w:rsidR="007547C0" w:rsidRPr="00E1445F">
        <w:rPr>
          <w:rFonts w:ascii="Times New Roman" w:eastAsia="Times New Roman" w:hAnsi="Times New Roman" w:cs="Times New Roman"/>
          <w:color w:val="auto"/>
          <w:sz w:val="22"/>
          <w:lang w:eastAsia="es-CO"/>
        </w:rPr>
        <w:t>experto</w:t>
      </w:r>
      <w:r w:rsidR="00443FC5" w:rsidRPr="00264906">
        <w:rPr>
          <w:rFonts w:ascii="Times New Roman" w:eastAsia="Times New Roman" w:hAnsi="Times New Roman" w:cs="Times New Roman"/>
          <w:color w:val="auto"/>
          <w:sz w:val="22"/>
          <w:lang w:eastAsia="es-CO"/>
        </w:rPr>
        <w:t>,</w:t>
      </w:r>
      <w:r w:rsidR="00BE1E17">
        <w:rPr>
          <w:rFonts w:ascii="Times New Roman" w:eastAsia="Times New Roman" w:hAnsi="Times New Roman" w:cs="Times New Roman"/>
          <w:color w:val="auto"/>
          <w:sz w:val="22"/>
          <w:lang w:eastAsia="es-CO"/>
        </w:rPr>
        <w:t xml:space="preserve"> para identificación de diferencias conceptual</w:t>
      </w:r>
      <w:r w:rsidR="007547C0">
        <w:rPr>
          <w:rFonts w:ascii="Times New Roman" w:eastAsia="Times New Roman" w:hAnsi="Times New Roman" w:cs="Times New Roman"/>
          <w:color w:val="auto"/>
          <w:sz w:val="22"/>
          <w:lang w:eastAsia="es-CO"/>
        </w:rPr>
        <w:t>es y una correcta socialización;</w:t>
      </w:r>
      <w:r w:rsidR="00BE1E17">
        <w:rPr>
          <w:rFonts w:ascii="Times New Roman" w:eastAsia="Times New Roman" w:hAnsi="Times New Roman" w:cs="Times New Roman"/>
          <w:color w:val="auto"/>
          <w:sz w:val="22"/>
          <w:lang w:eastAsia="es-CO"/>
        </w:rPr>
        <w:t xml:space="preserve"> dicho acompañamiento debe estar </w:t>
      </w:r>
      <w:r w:rsidR="00443FC5" w:rsidRPr="00264906">
        <w:rPr>
          <w:rFonts w:ascii="Times New Roman" w:eastAsia="Times New Roman" w:hAnsi="Times New Roman" w:cs="Times New Roman"/>
          <w:color w:val="auto"/>
          <w:sz w:val="22"/>
          <w:lang w:eastAsia="es-CO"/>
        </w:rPr>
        <w:t>desde los diseños, y en atención a esta problemática</w:t>
      </w:r>
      <w:r>
        <w:rPr>
          <w:rFonts w:ascii="Times New Roman" w:eastAsia="Times New Roman" w:hAnsi="Times New Roman" w:cs="Times New Roman"/>
          <w:color w:val="auto"/>
          <w:sz w:val="22"/>
          <w:lang w:eastAsia="es-CO"/>
        </w:rPr>
        <w:t xml:space="preserve"> se sugiere implementar Gestión del Cambio, en coordinación con Gestión de Talento Humano.</w:t>
      </w:r>
    </w:p>
    <w:p w14:paraId="3C6D8AB0" w14:textId="77777777" w:rsidR="00A435EA" w:rsidRDefault="00A435EA" w:rsidP="00E1445F">
      <w:pPr>
        <w:pStyle w:val="Default"/>
        <w:ind w:left="284"/>
        <w:jc w:val="both"/>
        <w:rPr>
          <w:rFonts w:ascii="Times New Roman" w:eastAsia="Times New Roman" w:hAnsi="Times New Roman" w:cs="Times New Roman"/>
          <w:color w:val="auto"/>
          <w:sz w:val="22"/>
          <w:lang w:eastAsia="es-CO"/>
        </w:rPr>
      </w:pPr>
    </w:p>
    <w:p w14:paraId="12D157D3" w14:textId="2CC5670B" w:rsidR="00443FC5" w:rsidRDefault="00A435EA" w:rsidP="00A435EA">
      <w:pPr>
        <w:pStyle w:val="Default"/>
        <w:numPr>
          <w:ilvl w:val="0"/>
          <w:numId w:val="81"/>
        </w:numPr>
        <w:ind w:left="284" w:hanging="284"/>
        <w:jc w:val="both"/>
        <w:rPr>
          <w:rFonts w:ascii="Times New Roman" w:eastAsia="Times New Roman" w:hAnsi="Times New Roman" w:cs="Times New Roman"/>
          <w:color w:val="auto"/>
          <w:sz w:val="22"/>
          <w:lang w:eastAsia="es-CO"/>
        </w:rPr>
      </w:pPr>
      <w:r>
        <w:rPr>
          <w:rFonts w:ascii="Times New Roman" w:eastAsia="Times New Roman" w:hAnsi="Times New Roman" w:cs="Times New Roman"/>
          <w:color w:val="auto"/>
          <w:sz w:val="22"/>
          <w:lang w:eastAsia="es-CO"/>
        </w:rPr>
        <w:t>Promover</w:t>
      </w:r>
      <w:r w:rsidR="00443FC5" w:rsidRPr="00264906">
        <w:rPr>
          <w:rFonts w:ascii="Times New Roman" w:eastAsia="Times New Roman" w:hAnsi="Times New Roman" w:cs="Times New Roman"/>
          <w:color w:val="auto"/>
          <w:sz w:val="22"/>
          <w:lang w:eastAsia="es-CO"/>
        </w:rPr>
        <w:t xml:space="preserve"> </w:t>
      </w:r>
      <w:r w:rsidR="00BE1E17">
        <w:rPr>
          <w:rFonts w:ascii="Times New Roman" w:eastAsia="Times New Roman" w:hAnsi="Times New Roman" w:cs="Times New Roman"/>
          <w:color w:val="auto"/>
          <w:sz w:val="22"/>
          <w:lang w:eastAsia="es-CO"/>
        </w:rPr>
        <w:t xml:space="preserve">la </w:t>
      </w:r>
      <w:r w:rsidR="00443FC5" w:rsidRPr="00264906">
        <w:rPr>
          <w:rFonts w:ascii="Times New Roman" w:eastAsia="Times New Roman" w:hAnsi="Times New Roman" w:cs="Times New Roman"/>
          <w:color w:val="auto"/>
          <w:sz w:val="22"/>
          <w:lang w:eastAsia="es-CO"/>
        </w:rPr>
        <w:t xml:space="preserve">participación de cada una de las Sedes con carácter de </w:t>
      </w:r>
      <w:r w:rsidR="00443FC5" w:rsidRPr="00BE1E17">
        <w:rPr>
          <w:rFonts w:ascii="Times New Roman" w:eastAsia="Times New Roman" w:hAnsi="Times New Roman" w:cs="Times New Roman"/>
          <w:b/>
          <w:color w:val="auto"/>
          <w:sz w:val="22"/>
          <w:u w:val="single"/>
          <w:lang w:eastAsia="es-CO"/>
        </w:rPr>
        <w:t>supervisión directa</w:t>
      </w:r>
      <w:r w:rsidR="00443FC5" w:rsidRPr="00264906">
        <w:rPr>
          <w:rFonts w:ascii="Times New Roman" w:eastAsia="Times New Roman" w:hAnsi="Times New Roman" w:cs="Times New Roman"/>
          <w:color w:val="auto"/>
          <w:sz w:val="22"/>
          <w:lang w:eastAsia="es-CO"/>
        </w:rPr>
        <w:t xml:space="preserve"> en la fase de diseño</w:t>
      </w:r>
      <w:r w:rsidR="00BE1E17">
        <w:rPr>
          <w:rFonts w:ascii="Times New Roman" w:eastAsia="Times New Roman" w:hAnsi="Times New Roman" w:cs="Times New Roman"/>
          <w:color w:val="auto"/>
          <w:sz w:val="22"/>
          <w:lang w:eastAsia="es-CO"/>
        </w:rPr>
        <w:t>;</w:t>
      </w:r>
      <w:r w:rsidR="00443FC5">
        <w:rPr>
          <w:rFonts w:ascii="Times New Roman" w:eastAsia="Times New Roman" w:hAnsi="Times New Roman" w:cs="Times New Roman"/>
          <w:color w:val="auto"/>
          <w:sz w:val="22"/>
          <w:lang w:eastAsia="es-CO"/>
        </w:rPr>
        <w:t xml:space="preserve"> todo esto basados </w:t>
      </w:r>
      <w:r w:rsidR="00443FC5" w:rsidRPr="007C0E31">
        <w:rPr>
          <w:rFonts w:ascii="Times New Roman" w:eastAsia="Times New Roman" w:hAnsi="Times New Roman" w:cs="Times New Roman"/>
          <w:color w:val="auto"/>
          <w:sz w:val="22"/>
          <w:lang w:eastAsia="es-CO"/>
        </w:rPr>
        <w:t xml:space="preserve">en </w:t>
      </w:r>
      <w:r w:rsidR="00443FC5" w:rsidRPr="00264906">
        <w:rPr>
          <w:rFonts w:ascii="Times New Roman" w:eastAsia="Times New Roman" w:hAnsi="Times New Roman" w:cs="Times New Roman"/>
          <w:color w:val="auto"/>
          <w:sz w:val="22"/>
          <w:lang w:eastAsia="es-CO"/>
        </w:rPr>
        <w:t xml:space="preserve">la </w:t>
      </w:r>
      <w:r w:rsidR="00443FC5">
        <w:rPr>
          <w:rFonts w:ascii="Times New Roman" w:eastAsia="Times New Roman" w:hAnsi="Times New Roman" w:cs="Times New Roman"/>
          <w:color w:val="auto"/>
          <w:sz w:val="22"/>
          <w:lang w:eastAsia="es-CO"/>
        </w:rPr>
        <w:t xml:space="preserve">adversidad presente, la </w:t>
      </w:r>
      <w:r w:rsidR="00443FC5" w:rsidRPr="00264906">
        <w:rPr>
          <w:rFonts w:ascii="Times New Roman" w:eastAsia="Times New Roman" w:hAnsi="Times New Roman" w:cs="Times New Roman"/>
          <w:color w:val="auto"/>
          <w:sz w:val="22"/>
          <w:lang w:eastAsia="es-CO"/>
        </w:rPr>
        <w:t>complejidad</w:t>
      </w:r>
      <w:r w:rsidR="00443FC5">
        <w:rPr>
          <w:rFonts w:ascii="Times New Roman" w:eastAsia="Times New Roman" w:hAnsi="Times New Roman" w:cs="Times New Roman"/>
          <w:color w:val="auto"/>
          <w:sz w:val="22"/>
          <w:lang w:eastAsia="es-CO"/>
        </w:rPr>
        <w:t xml:space="preserve"> del proyecto</w:t>
      </w:r>
      <w:r w:rsidR="00443FC5" w:rsidRPr="00264906">
        <w:rPr>
          <w:rFonts w:ascii="Times New Roman" w:eastAsia="Times New Roman" w:hAnsi="Times New Roman" w:cs="Times New Roman"/>
          <w:color w:val="auto"/>
          <w:sz w:val="22"/>
          <w:lang w:eastAsia="es-CO"/>
        </w:rPr>
        <w:t xml:space="preserve"> y </w:t>
      </w:r>
      <w:r w:rsidR="00BE1E17">
        <w:rPr>
          <w:rFonts w:ascii="Times New Roman" w:eastAsia="Times New Roman" w:hAnsi="Times New Roman" w:cs="Times New Roman"/>
          <w:color w:val="auto"/>
          <w:sz w:val="22"/>
          <w:lang w:eastAsia="es-CO"/>
        </w:rPr>
        <w:t xml:space="preserve">la </w:t>
      </w:r>
      <w:r w:rsidR="00443FC5" w:rsidRPr="00264906">
        <w:rPr>
          <w:rFonts w:ascii="Times New Roman" w:eastAsia="Times New Roman" w:hAnsi="Times New Roman" w:cs="Times New Roman"/>
          <w:color w:val="auto"/>
          <w:sz w:val="22"/>
          <w:lang w:eastAsia="es-CO"/>
        </w:rPr>
        <w:t xml:space="preserve">futura funcionalidad, esto a su vez integrará y </w:t>
      </w:r>
      <w:r w:rsidR="00443FC5" w:rsidRPr="007C0E31">
        <w:rPr>
          <w:rFonts w:ascii="Times New Roman" w:eastAsia="Times New Roman" w:hAnsi="Times New Roman" w:cs="Times New Roman"/>
          <w:color w:val="auto"/>
          <w:sz w:val="22"/>
          <w:lang w:eastAsia="es-CO"/>
        </w:rPr>
        <w:t>reforzará</w:t>
      </w:r>
      <w:r w:rsidR="00443FC5" w:rsidRPr="00264906">
        <w:rPr>
          <w:rFonts w:ascii="Times New Roman" w:eastAsia="Times New Roman" w:hAnsi="Times New Roman" w:cs="Times New Roman"/>
          <w:color w:val="auto"/>
          <w:sz w:val="22"/>
          <w:lang w:eastAsia="es-CO"/>
        </w:rPr>
        <w:t xml:space="preserve"> la responsabilidad y </w:t>
      </w:r>
      <w:r w:rsidR="00443FC5" w:rsidRPr="007C0E31">
        <w:rPr>
          <w:rFonts w:ascii="Times New Roman" w:eastAsia="Times New Roman" w:hAnsi="Times New Roman" w:cs="Times New Roman"/>
          <w:color w:val="auto"/>
          <w:sz w:val="22"/>
          <w:lang w:eastAsia="es-CO"/>
        </w:rPr>
        <w:t>ayudará</w:t>
      </w:r>
      <w:r w:rsidR="00443FC5" w:rsidRPr="00264906">
        <w:rPr>
          <w:rFonts w:ascii="Times New Roman" w:eastAsia="Times New Roman" w:hAnsi="Times New Roman" w:cs="Times New Roman"/>
          <w:color w:val="auto"/>
          <w:sz w:val="22"/>
          <w:lang w:eastAsia="es-CO"/>
        </w:rPr>
        <w:t xml:space="preserve"> a eliminar la dualidad política</w:t>
      </w:r>
      <w:r w:rsidR="003C644D">
        <w:rPr>
          <w:rFonts w:ascii="Times New Roman" w:eastAsia="Times New Roman" w:hAnsi="Times New Roman" w:cs="Times New Roman"/>
          <w:color w:val="auto"/>
          <w:sz w:val="22"/>
          <w:lang w:eastAsia="es-CO"/>
        </w:rPr>
        <w:t xml:space="preserve"> y social</w:t>
      </w:r>
      <w:r w:rsidR="00443FC5" w:rsidRPr="00264906">
        <w:rPr>
          <w:rFonts w:ascii="Times New Roman" w:eastAsia="Times New Roman" w:hAnsi="Times New Roman" w:cs="Times New Roman"/>
          <w:color w:val="auto"/>
          <w:sz w:val="22"/>
          <w:lang w:eastAsia="es-CO"/>
        </w:rPr>
        <w:t xml:space="preserve"> que exista.</w:t>
      </w:r>
    </w:p>
    <w:p w14:paraId="580F428F" w14:textId="77777777" w:rsidR="00A435EA" w:rsidRDefault="00A435EA" w:rsidP="00E1445F">
      <w:pPr>
        <w:pStyle w:val="Prrafodelista"/>
        <w:rPr>
          <w:sz w:val="22"/>
        </w:rPr>
      </w:pPr>
    </w:p>
    <w:p w14:paraId="09AECF96" w14:textId="2F435D7E" w:rsidR="00A435EA" w:rsidRDefault="00A435EA" w:rsidP="00A435EA">
      <w:pPr>
        <w:pStyle w:val="Default"/>
        <w:numPr>
          <w:ilvl w:val="0"/>
          <w:numId w:val="81"/>
        </w:numPr>
        <w:ind w:left="284" w:hanging="284"/>
        <w:jc w:val="both"/>
        <w:rPr>
          <w:rFonts w:ascii="Times New Roman" w:eastAsia="Times New Roman" w:hAnsi="Times New Roman" w:cs="Times New Roman"/>
          <w:color w:val="auto"/>
          <w:sz w:val="22"/>
          <w:lang w:eastAsia="es-CO"/>
        </w:rPr>
      </w:pPr>
      <w:r>
        <w:rPr>
          <w:rFonts w:ascii="Times New Roman" w:eastAsia="Times New Roman" w:hAnsi="Times New Roman" w:cs="Times New Roman"/>
          <w:color w:val="auto"/>
          <w:sz w:val="22"/>
          <w:lang w:eastAsia="es-CO"/>
        </w:rPr>
        <w:t>Realizar por parte de la nueva</w:t>
      </w:r>
      <w:r w:rsidR="007547C0" w:rsidRPr="00371ACF">
        <w:rPr>
          <w:rFonts w:ascii="Times New Roman" w:eastAsia="Times New Roman" w:hAnsi="Times New Roman" w:cs="Times New Roman"/>
          <w:color w:val="auto"/>
          <w:sz w:val="22"/>
          <w:lang w:eastAsia="es-CO"/>
        </w:rPr>
        <w:t xml:space="preserve"> interventoría</w:t>
      </w:r>
      <w:r>
        <w:rPr>
          <w:rFonts w:ascii="Times New Roman" w:eastAsia="Times New Roman" w:hAnsi="Times New Roman" w:cs="Times New Roman"/>
          <w:color w:val="auto"/>
          <w:sz w:val="22"/>
          <w:lang w:eastAsia="es-CO"/>
        </w:rPr>
        <w:t>,</w:t>
      </w:r>
      <w:r w:rsidR="007547C0" w:rsidRPr="00371ACF">
        <w:rPr>
          <w:rFonts w:ascii="Times New Roman" w:eastAsia="Times New Roman" w:hAnsi="Times New Roman" w:cs="Times New Roman"/>
          <w:color w:val="auto"/>
          <w:sz w:val="22"/>
          <w:lang w:eastAsia="es-CO"/>
        </w:rPr>
        <w:t xml:space="preserve"> una revisión de la correspondencia enviada por la Unión Temporal a la CIS, y se evacúen las inquietudes técnicas no resueltas</w:t>
      </w:r>
      <w:r>
        <w:rPr>
          <w:rFonts w:ascii="Times New Roman" w:eastAsia="Times New Roman" w:hAnsi="Times New Roman" w:cs="Times New Roman"/>
          <w:color w:val="auto"/>
          <w:sz w:val="22"/>
          <w:lang w:eastAsia="es-CO"/>
        </w:rPr>
        <w:t>.</w:t>
      </w:r>
    </w:p>
    <w:p w14:paraId="497842DC" w14:textId="77777777" w:rsidR="00A435EA" w:rsidRDefault="00A435EA" w:rsidP="00E1445F">
      <w:pPr>
        <w:pStyle w:val="Default"/>
        <w:ind w:left="284"/>
        <w:jc w:val="both"/>
        <w:rPr>
          <w:rFonts w:ascii="Times New Roman" w:eastAsia="Times New Roman" w:hAnsi="Times New Roman" w:cs="Times New Roman"/>
          <w:color w:val="auto"/>
          <w:sz w:val="22"/>
          <w:lang w:eastAsia="es-CO"/>
        </w:rPr>
      </w:pPr>
    </w:p>
    <w:p w14:paraId="3AEF3B20" w14:textId="2B098608" w:rsidR="007547C0" w:rsidRPr="00371ACF" w:rsidRDefault="00A435EA" w:rsidP="00E1445F">
      <w:pPr>
        <w:pStyle w:val="Default"/>
        <w:numPr>
          <w:ilvl w:val="0"/>
          <w:numId w:val="81"/>
        </w:numPr>
        <w:ind w:left="284" w:hanging="284"/>
        <w:jc w:val="both"/>
        <w:rPr>
          <w:rFonts w:ascii="Times New Roman" w:eastAsia="Times New Roman" w:hAnsi="Times New Roman" w:cs="Times New Roman"/>
          <w:color w:val="auto"/>
          <w:sz w:val="22"/>
          <w:lang w:eastAsia="es-CO"/>
        </w:rPr>
      </w:pPr>
      <w:r>
        <w:rPr>
          <w:rFonts w:ascii="Times New Roman" w:eastAsia="Times New Roman" w:hAnsi="Times New Roman" w:cs="Times New Roman"/>
          <w:color w:val="auto"/>
          <w:sz w:val="22"/>
          <w:lang w:eastAsia="es-CO"/>
        </w:rPr>
        <w:t>R</w:t>
      </w:r>
      <w:r w:rsidR="007547C0" w:rsidRPr="00371ACF">
        <w:rPr>
          <w:rFonts w:ascii="Times New Roman" w:eastAsia="Times New Roman" w:hAnsi="Times New Roman" w:cs="Times New Roman"/>
          <w:color w:val="auto"/>
          <w:sz w:val="22"/>
          <w:lang w:eastAsia="es-CO"/>
        </w:rPr>
        <w:t>etom</w:t>
      </w:r>
      <w:r>
        <w:rPr>
          <w:rFonts w:ascii="Times New Roman" w:eastAsia="Times New Roman" w:hAnsi="Times New Roman" w:cs="Times New Roman"/>
          <w:color w:val="auto"/>
          <w:sz w:val="22"/>
          <w:lang w:eastAsia="es-CO"/>
        </w:rPr>
        <w:t>ar</w:t>
      </w:r>
      <w:r w:rsidR="007547C0" w:rsidRPr="00371ACF">
        <w:rPr>
          <w:rFonts w:ascii="Times New Roman" w:eastAsia="Times New Roman" w:hAnsi="Times New Roman" w:cs="Times New Roman"/>
          <w:color w:val="auto"/>
          <w:sz w:val="22"/>
          <w:lang w:eastAsia="es-CO"/>
        </w:rPr>
        <w:t xml:space="preserve"> las mesas de trabajo interdisciplinario desde lo técnico con participación de la estructura organizativa del proyecto.</w:t>
      </w:r>
    </w:p>
    <w:p w14:paraId="1BCC1A8B" w14:textId="5E8D4C0F" w:rsidR="007547C0" w:rsidRPr="00371ACF" w:rsidRDefault="007547C0" w:rsidP="00443FC5">
      <w:pPr>
        <w:pStyle w:val="Default"/>
        <w:jc w:val="both"/>
        <w:rPr>
          <w:rFonts w:ascii="Times New Roman" w:eastAsia="Times New Roman" w:hAnsi="Times New Roman" w:cs="Times New Roman"/>
          <w:color w:val="auto"/>
          <w:sz w:val="22"/>
          <w:lang w:eastAsia="es-CO"/>
        </w:rPr>
      </w:pPr>
    </w:p>
    <w:p w14:paraId="6DABCBD7" w14:textId="7CC4AE53" w:rsidR="007547C0" w:rsidRDefault="00A435EA" w:rsidP="00E1445F">
      <w:pPr>
        <w:pStyle w:val="Default"/>
        <w:numPr>
          <w:ilvl w:val="0"/>
          <w:numId w:val="80"/>
        </w:numPr>
        <w:ind w:left="284" w:hanging="284"/>
        <w:jc w:val="both"/>
        <w:rPr>
          <w:rFonts w:ascii="Times New Roman" w:eastAsia="Times New Roman" w:hAnsi="Times New Roman" w:cs="Times New Roman"/>
          <w:color w:val="auto"/>
          <w:sz w:val="22"/>
          <w:lang w:eastAsia="es-CO"/>
        </w:rPr>
      </w:pPr>
      <w:r>
        <w:rPr>
          <w:rFonts w:ascii="Times New Roman" w:eastAsia="Times New Roman" w:hAnsi="Times New Roman" w:cs="Times New Roman"/>
          <w:color w:val="auto"/>
          <w:sz w:val="22"/>
          <w:lang w:eastAsia="es-CO"/>
        </w:rPr>
        <w:t>R</w:t>
      </w:r>
      <w:r w:rsidR="007547C0" w:rsidRPr="00371ACF">
        <w:rPr>
          <w:rFonts w:ascii="Times New Roman" w:eastAsia="Times New Roman" w:hAnsi="Times New Roman" w:cs="Times New Roman"/>
          <w:color w:val="auto"/>
          <w:sz w:val="22"/>
          <w:lang w:eastAsia="es-CO"/>
        </w:rPr>
        <w:t xml:space="preserve">evisar la estructura organizativa y las funciones de cada una de las personas y dependencias designadas, </w:t>
      </w:r>
      <w:r>
        <w:rPr>
          <w:rFonts w:ascii="Times New Roman" w:eastAsia="Times New Roman" w:hAnsi="Times New Roman" w:cs="Times New Roman"/>
          <w:color w:val="auto"/>
          <w:sz w:val="22"/>
          <w:lang w:eastAsia="es-CO"/>
        </w:rPr>
        <w:t xml:space="preserve">lo anterior con el fin de evitar </w:t>
      </w:r>
      <w:r w:rsidR="007547C0" w:rsidRPr="00371ACF">
        <w:rPr>
          <w:rFonts w:ascii="Times New Roman" w:eastAsia="Times New Roman" w:hAnsi="Times New Roman" w:cs="Times New Roman"/>
          <w:color w:val="auto"/>
          <w:sz w:val="22"/>
          <w:lang w:eastAsia="es-CO"/>
        </w:rPr>
        <w:t>falta de seguimiento a los contratos y falta de respuesta a lo</w:t>
      </w:r>
      <w:r>
        <w:rPr>
          <w:rFonts w:ascii="Times New Roman" w:eastAsia="Times New Roman" w:hAnsi="Times New Roman" w:cs="Times New Roman"/>
          <w:color w:val="auto"/>
          <w:sz w:val="22"/>
          <w:lang w:eastAsia="es-CO"/>
        </w:rPr>
        <w:t>s aspectos</w:t>
      </w:r>
      <w:r w:rsidR="007547C0" w:rsidRPr="00371ACF">
        <w:rPr>
          <w:rFonts w:ascii="Times New Roman" w:eastAsia="Times New Roman" w:hAnsi="Times New Roman" w:cs="Times New Roman"/>
          <w:color w:val="auto"/>
          <w:sz w:val="22"/>
          <w:lang w:eastAsia="es-CO"/>
        </w:rPr>
        <w:t xml:space="preserve"> técnico</w:t>
      </w:r>
      <w:r>
        <w:rPr>
          <w:rFonts w:ascii="Times New Roman" w:eastAsia="Times New Roman" w:hAnsi="Times New Roman" w:cs="Times New Roman"/>
          <w:color w:val="auto"/>
          <w:sz w:val="22"/>
          <w:lang w:eastAsia="es-CO"/>
        </w:rPr>
        <w:t>s</w:t>
      </w:r>
      <w:r w:rsidR="007547C0" w:rsidRPr="00371ACF">
        <w:rPr>
          <w:rFonts w:ascii="Times New Roman" w:eastAsia="Times New Roman" w:hAnsi="Times New Roman" w:cs="Times New Roman"/>
          <w:color w:val="auto"/>
          <w:sz w:val="22"/>
          <w:lang w:eastAsia="es-CO"/>
        </w:rPr>
        <w:t>.</w:t>
      </w:r>
    </w:p>
    <w:p w14:paraId="0F19F0C1" w14:textId="579236F3" w:rsidR="00473DAE" w:rsidRDefault="00473DAE" w:rsidP="00473DAE">
      <w:pPr>
        <w:jc w:val="both"/>
        <w:rPr>
          <w:b/>
          <w:color w:val="385623" w:themeColor="accent6" w:themeShade="80"/>
          <w:sz w:val="22"/>
        </w:rPr>
      </w:pPr>
    </w:p>
    <w:p w14:paraId="1F52DC80" w14:textId="77777777" w:rsidR="00D71D42" w:rsidRDefault="00D71D42" w:rsidP="00473DAE">
      <w:pPr>
        <w:jc w:val="both"/>
        <w:rPr>
          <w:b/>
          <w:color w:val="385623" w:themeColor="accent6" w:themeShade="80"/>
          <w:sz w:val="22"/>
        </w:rPr>
      </w:pPr>
    </w:p>
    <w:p w14:paraId="6F125086" w14:textId="24092D42" w:rsidR="00473DAE" w:rsidRPr="00473DAE" w:rsidRDefault="00473DAE" w:rsidP="00473DAE">
      <w:pPr>
        <w:jc w:val="both"/>
        <w:rPr>
          <w:bCs/>
          <w:sz w:val="22"/>
          <w:szCs w:val="22"/>
        </w:rPr>
      </w:pPr>
      <w:r w:rsidRPr="00473DAE">
        <w:rPr>
          <w:b/>
          <w:color w:val="385623" w:themeColor="accent6" w:themeShade="80"/>
          <w:sz w:val="22"/>
        </w:rPr>
        <w:lastRenderedPageBreak/>
        <w:t xml:space="preserve">Comentarios Administración </w:t>
      </w:r>
    </w:p>
    <w:p w14:paraId="20E55090" w14:textId="77777777" w:rsidR="00D71D42" w:rsidRDefault="00473DAE" w:rsidP="00D71D42">
      <w:pPr>
        <w:jc w:val="both"/>
        <w:rPr>
          <w:sz w:val="22"/>
        </w:rPr>
      </w:pPr>
      <w:r w:rsidRPr="00D71D42">
        <w:rPr>
          <w:sz w:val="22"/>
        </w:rPr>
        <w:t>De acuerdo con las recomendaciones</w:t>
      </w:r>
      <w:r w:rsidR="00D71D42">
        <w:rPr>
          <w:sz w:val="22"/>
        </w:rPr>
        <w:t xml:space="preserve">. </w:t>
      </w:r>
    </w:p>
    <w:p w14:paraId="0B2A9CCE" w14:textId="72FF8977" w:rsidR="00D71D42" w:rsidRDefault="00D71D42" w:rsidP="00D71D42">
      <w:pPr>
        <w:jc w:val="both"/>
        <w:rPr>
          <w:sz w:val="22"/>
        </w:rPr>
      </w:pPr>
      <w:r w:rsidRPr="00D71D42">
        <w:rPr>
          <w:sz w:val="22"/>
        </w:rPr>
        <w:t xml:space="preserve">En </w:t>
      </w:r>
      <w:r>
        <w:rPr>
          <w:sz w:val="22"/>
        </w:rPr>
        <w:t>relaci</w:t>
      </w:r>
      <w:r w:rsidR="00B04A42">
        <w:rPr>
          <w:sz w:val="22"/>
        </w:rPr>
        <w:t xml:space="preserve">ón con </w:t>
      </w:r>
      <w:r>
        <w:rPr>
          <w:sz w:val="22"/>
        </w:rPr>
        <w:t xml:space="preserve">el punto de la documentación se va a </w:t>
      </w:r>
      <w:r w:rsidR="005151EA">
        <w:rPr>
          <w:sz w:val="22"/>
        </w:rPr>
        <w:t>v</w:t>
      </w:r>
      <w:r w:rsidRPr="00D71D42">
        <w:rPr>
          <w:sz w:val="22"/>
        </w:rPr>
        <w:t>alidar el estado de cuentas entre la CIS y la Unión Temporal</w:t>
      </w:r>
      <w:r w:rsidR="00B04A42">
        <w:rPr>
          <w:sz w:val="22"/>
        </w:rPr>
        <w:t>.</w:t>
      </w:r>
    </w:p>
    <w:p w14:paraId="7EE2F529" w14:textId="2EF46004" w:rsidR="00B04A42" w:rsidRDefault="00B04A42" w:rsidP="00D71D42">
      <w:pPr>
        <w:jc w:val="both"/>
        <w:rPr>
          <w:sz w:val="22"/>
        </w:rPr>
      </w:pPr>
      <w:r>
        <w:rPr>
          <w:sz w:val="22"/>
        </w:rPr>
        <w:t xml:space="preserve">Respecto al tema del primer pago, ya se pagó en el mes de mayo. </w:t>
      </w:r>
    </w:p>
    <w:p w14:paraId="7014358B" w14:textId="60100C33" w:rsidR="007D7DFB" w:rsidRDefault="007D7DFB" w:rsidP="00D71D42">
      <w:pPr>
        <w:jc w:val="both"/>
        <w:rPr>
          <w:sz w:val="22"/>
        </w:rPr>
      </w:pPr>
      <w:r>
        <w:rPr>
          <w:sz w:val="22"/>
        </w:rPr>
        <w:t>Frente al componente técnico</w:t>
      </w:r>
      <w:r w:rsidR="00B506D6">
        <w:rPr>
          <w:sz w:val="22"/>
        </w:rPr>
        <w:t>,</w:t>
      </w:r>
      <w:r>
        <w:rPr>
          <w:sz w:val="22"/>
        </w:rPr>
        <w:t xml:space="preserve"> </w:t>
      </w:r>
      <w:r w:rsidR="00B506D6">
        <w:rPr>
          <w:sz w:val="22"/>
        </w:rPr>
        <w:t xml:space="preserve">se precisa que la Gerencia técnica si solicitó en varias ocasiones la atención de los requerimientos y las consultas.  </w:t>
      </w:r>
    </w:p>
    <w:p w14:paraId="62B0F75D" w14:textId="460F2EE9" w:rsidR="00B506D6" w:rsidRPr="00D71D42" w:rsidRDefault="00B506D6" w:rsidP="00D71D42">
      <w:pPr>
        <w:jc w:val="both"/>
        <w:rPr>
          <w:sz w:val="22"/>
        </w:rPr>
      </w:pPr>
      <w:r>
        <w:rPr>
          <w:sz w:val="22"/>
        </w:rPr>
        <w:t xml:space="preserve">Frente al componente social, inicialmente el proyecto si estaba acompañado y gestionado por el componente de comunicaciones. </w:t>
      </w:r>
    </w:p>
    <w:p w14:paraId="4A03BF00" w14:textId="30399DC4" w:rsidR="00510D67" w:rsidRDefault="00510D67" w:rsidP="003A7278">
      <w:pPr>
        <w:pStyle w:val="Ttulo1"/>
        <w:numPr>
          <w:ilvl w:val="0"/>
          <w:numId w:val="82"/>
        </w:numPr>
        <w:ind w:left="426" w:hanging="426"/>
        <w:rPr>
          <w:rFonts w:ascii="Times New Roman" w:hAnsi="Times New Roman" w:cs="Times New Roman"/>
          <w:b/>
          <w:color w:val="385623" w:themeColor="accent6" w:themeShade="80"/>
          <w:sz w:val="24"/>
        </w:rPr>
      </w:pPr>
      <w:bookmarkStart w:id="21" w:name="_Toc526516473"/>
      <w:r>
        <w:rPr>
          <w:rFonts w:ascii="Times New Roman" w:hAnsi="Times New Roman" w:cs="Times New Roman"/>
          <w:b/>
          <w:color w:val="385623" w:themeColor="accent6" w:themeShade="80"/>
          <w:sz w:val="24"/>
        </w:rPr>
        <w:t>CONCLUSIONES</w:t>
      </w:r>
      <w:bookmarkEnd w:id="21"/>
    </w:p>
    <w:p w14:paraId="151FC93E" w14:textId="45497713" w:rsidR="00510D67" w:rsidRDefault="00510D67" w:rsidP="00510D67"/>
    <w:p w14:paraId="3E1B0D30" w14:textId="0C49FB1E" w:rsidR="00547B4F" w:rsidRDefault="00547B4F" w:rsidP="003A519F">
      <w:pPr>
        <w:pStyle w:val="Prrafodelista"/>
        <w:numPr>
          <w:ilvl w:val="0"/>
          <w:numId w:val="28"/>
        </w:numPr>
        <w:spacing w:after="160" w:line="259" w:lineRule="auto"/>
        <w:jc w:val="both"/>
        <w:rPr>
          <w:sz w:val="22"/>
        </w:rPr>
      </w:pPr>
      <w:r w:rsidRPr="00547B4F">
        <w:rPr>
          <w:sz w:val="22"/>
        </w:rPr>
        <w:t xml:space="preserve">Se identificaron actos administrativos relacionados y que destinan recursos con la construcción de la nueva sede de la Facultad Nacional de Salud Pública y </w:t>
      </w:r>
      <w:r>
        <w:rPr>
          <w:sz w:val="22"/>
        </w:rPr>
        <w:t>p</w:t>
      </w:r>
      <w:r w:rsidRPr="00547B4F">
        <w:rPr>
          <w:sz w:val="22"/>
        </w:rPr>
        <w:t>osteriormente, a partir del año 2017 actos administrativos asociados con el Complejo de la Salud.</w:t>
      </w:r>
      <w:r>
        <w:rPr>
          <w:sz w:val="22"/>
        </w:rPr>
        <w:t xml:space="preserve"> Teniendo en cuenta que esta Facultad está incluida y tabulada dentro del proyecto, es necesario analizar la</w:t>
      </w:r>
      <w:r w:rsidRPr="00547B4F">
        <w:rPr>
          <w:sz w:val="22"/>
        </w:rPr>
        <w:t xml:space="preserve"> viabilidad de aplicación</w:t>
      </w:r>
      <w:r>
        <w:rPr>
          <w:sz w:val="22"/>
        </w:rPr>
        <w:t xml:space="preserve"> de estos recursos</w:t>
      </w:r>
      <w:r w:rsidRPr="00547B4F">
        <w:rPr>
          <w:sz w:val="22"/>
        </w:rPr>
        <w:t>.</w:t>
      </w:r>
      <w:r>
        <w:rPr>
          <w:sz w:val="22"/>
        </w:rPr>
        <w:t xml:space="preserve"> </w:t>
      </w:r>
    </w:p>
    <w:p w14:paraId="1C9D71D9" w14:textId="77777777" w:rsidR="00C35CF7" w:rsidRDefault="00C35CF7" w:rsidP="00C35CF7">
      <w:pPr>
        <w:pStyle w:val="Prrafodelista"/>
        <w:spacing w:after="160" w:line="259" w:lineRule="auto"/>
        <w:jc w:val="both"/>
        <w:rPr>
          <w:sz w:val="22"/>
        </w:rPr>
      </w:pPr>
    </w:p>
    <w:p w14:paraId="1A4E7B1A" w14:textId="2D1F160B" w:rsidR="006D21A5" w:rsidRPr="006D21A5" w:rsidRDefault="006D21A5" w:rsidP="0005407E">
      <w:pPr>
        <w:pStyle w:val="Prrafodelista"/>
        <w:numPr>
          <w:ilvl w:val="0"/>
          <w:numId w:val="28"/>
        </w:numPr>
        <w:spacing w:after="160" w:line="259" w:lineRule="auto"/>
        <w:jc w:val="both"/>
        <w:rPr>
          <w:rFonts w:ascii="Arial Narrow" w:eastAsiaTheme="minorHAnsi" w:hAnsi="Arial Narrow" w:cs="Arial Narrow"/>
          <w:color w:val="000000"/>
          <w:sz w:val="22"/>
          <w:lang w:eastAsia="en-US"/>
        </w:rPr>
      </w:pPr>
      <w:r w:rsidRPr="006D21A5">
        <w:rPr>
          <w:sz w:val="22"/>
        </w:rPr>
        <w:t>No se evidencia un documento institucional que formalice y defina quienes hacen parte del proyecto y por el contrario se observa documentación para el caso puntual de la Facultad Nacional de Salud Pública que al parecer indican no incluirse</w:t>
      </w:r>
      <w:r>
        <w:rPr>
          <w:sz w:val="22"/>
        </w:rPr>
        <w:t xml:space="preserve"> y no hacer parte del proyecto.</w:t>
      </w:r>
    </w:p>
    <w:p w14:paraId="78C57952" w14:textId="77777777" w:rsidR="006D21A5" w:rsidRPr="006D21A5" w:rsidRDefault="006D21A5" w:rsidP="006D21A5">
      <w:pPr>
        <w:pStyle w:val="Prrafodelista"/>
        <w:rPr>
          <w:rFonts w:ascii="Arial Narrow" w:eastAsiaTheme="minorHAnsi" w:hAnsi="Arial Narrow" w:cs="Arial Narrow"/>
          <w:color w:val="000000"/>
          <w:sz w:val="22"/>
          <w:lang w:eastAsia="en-US"/>
        </w:rPr>
      </w:pPr>
    </w:p>
    <w:p w14:paraId="6952ACF7" w14:textId="4EB529A7" w:rsidR="006D21A5" w:rsidRDefault="006D21A5" w:rsidP="003A519F">
      <w:pPr>
        <w:pStyle w:val="Prrafodelista"/>
        <w:numPr>
          <w:ilvl w:val="0"/>
          <w:numId w:val="28"/>
        </w:numPr>
        <w:jc w:val="both"/>
        <w:rPr>
          <w:sz w:val="22"/>
        </w:rPr>
      </w:pPr>
      <w:r w:rsidRPr="006D21A5">
        <w:rPr>
          <w:sz w:val="22"/>
        </w:rPr>
        <w:t>Se identificaron debilidades en el empalme de la interventoría que finalizó el 30 de junio, pues el Jefe de Infraestructura quien es el nuevo interventor designado para el contrato de consultoría que finalizó el 18 de julio y los dos contratos vigentes (Dirección general y contrato</w:t>
      </w:r>
      <w:r>
        <w:rPr>
          <w:sz w:val="22"/>
        </w:rPr>
        <w:t xml:space="preserve"> de mandato) estarán a su cargo.</w:t>
      </w:r>
    </w:p>
    <w:p w14:paraId="170BD133" w14:textId="77777777" w:rsidR="006D21A5" w:rsidRPr="006D21A5" w:rsidRDefault="006D21A5" w:rsidP="006D21A5">
      <w:pPr>
        <w:pStyle w:val="Prrafodelista"/>
        <w:jc w:val="both"/>
        <w:rPr>
          <w:sz w:val="22"/>
        </w:rPr>
      </w:pPr>
    </w:p>
    <w:p w14:paraId="117DF108" w14:textId="6E25849B" w:rsidR="006D21A5" w:rsidRPr="006D21A5" w:rsidRDefault="006D21A5" w:rsidP="006D21A5">
      <w:pPr>
        <w:pStyle w:val="Prrafodelista"/>
        <w:jc w:val="both"/>
        <w:rPr>
          <w:sz w:val="22"/>
        </w:rPr>
      </w:pPr>
      <w:r>
        <w:rPr>
          <w:sz w:val="22"/>
        </w:rPr>
        <w:t>Adicionalmente, y de acuerdo a</w:t>
      </w:r>
      <w:r w:rsidRPr="006D21A5">
        <w:rPr>
          <w:sz w:val="22"/>
        </w:rPr>
        <w:t xml:space="preserve"> la documentación suministrada no se observa la entrega del estado del proyecto en su componente técnico.  Aspecto que fue validado por el nuevo interventor al informar que no se había reunido con la anterior interventora y debía entonces revisar la documentación suministrada a través de la Directora del proyecto para validar y ponerse al tanto y así conocer el estado de l</w:t>
      </w:r>
      <w:r>
        <w:rPr>
          <w:sz w:val="22"/>
        </w:rPr>
        <w:t>os contratos y las actividades y en general del proyecto.</w:t>
      </w:r>
    </w:p>
    <w:p w14:paraId="27947422" w14:textId="77777777" w:rsidR="006D21A5" w:rsidRPr="006D21A5" w:rsidRDefault="006D21A5" w:rsidP="006D21A5">
      <w:pPr>
        <w:pStyle w:val="Prrafodelista"/>
        <w:jc w:val="both"/>
        <w:rPr>
          <w:sz w:val="22"/>
        </w:rPr>
      </w:pPr>
    </w:p>
    <w:p w14:paraId="053806FC" w14:textId="77777777" w:rsidR="006D21A5" w:rsidRPr="006D21A5" w:rsidRDefault="006D21A5" w:rsidP="006D21A5">
      <w:pPr>
        <w:pStyle w:val="Prrafodelista"/>
        <w:jc w:val="both"/>
        <w:rPr>
          <w:sz w:val="22"/>
          <w:szCs w:val="22"/>
        </w:rPr>
      </w:pPr>
      <w:r w:rsidRPr="006D21A5">
        <w:rPr>
          <w:sz w:val="22"/>
          <w:szCs w:val="22"/>
        </w:rPr>
        <w:t xml:space="preserve">Para todos los contratos relacionados, excepto para la Dirección Académica, el interventor es el Jefe de Infraestructura física, situación que consideramos susceptible de revisión dada la magnitud y alcance de los contratos, pues esto puede generar una </w:t>
      </w:r>
      <w:r w:rsidRPr="006D21A5">
        <w:rPr>
          <w:sz w:val="22"/>
        </w:rPr>
        <w:t>sobrecarga laboral en este funcionario, y aunque es idóneo técnicamente para realizar dicha interventoría, puede no disponer del tiempo suficiente para el seguimiento a la importante fase de diseño.</w:t>
      </w:r>
    </w:p>
    <w:p w14:paraId="674A8B09" w14:textId="77777777" w:rsidR="006D21A5" w:rsidRPr="006D21A5" w:rsidRDefault="006D21A5" w:rsidP="006D21A5">
      <w:pPr>
        <w:pStyle w:val="Prrafodelista"/>
        <w:jc w:val="both"/>
        <w:rPr>
          <w:color w:val="FF0000"/>
          <w:sz w:val="16"/>
        </w:rPr>
      </w:pPr>
    </w:p>
    <w:p w14:paraId="0CF85264" w14:textId="02D2AD2F" w:rsidR="006D21A5" w:rsidRPr="00600749" w:rsidRDefault="006D21A5" w:rsidP="006D21A5">
      <w:pPr>
        <w:pStyle w:val="Prrafodelista"/>
        <w:jc w:val="both"/>
        <w:rPr>
          <w:color w:val="FF0000"/>
          <w:sz w:val="16"/>
        </w:rPr>
      </w:pPr>
      <w:r>
        <w:rPr>
          <w:sz w:val="22"/>
        </w:rPr>
        <w:t>E</w:t>
      </w:r>
      <w:r w:rsidRPr="00600749">
        <w:rPr>
          <w:sz w:val="22"/>
        </w:rPr>
        <w:t>s necesario analizar la capacidad operativa de realizar por parte del Jefe de Infraestructura, además de sus funciones, la labor de interventoría en los contratos vigentes</w:t>
      </w:r>
    </w:p>
    <w:p w14:paraId="5170A1BA" w14:textId="77777777" w:rsidR="006D21A5" w:rsidRPr="006D21A5" w:rsidRDefault="006D21A5" w:rsidP="006D21A5">
      <w:pPr>
        <w:pStyle w:val="Prrafodelista"/>
        <w:jc w:val="both"/>
        <w:rPr>
          <w:color w:val="FF0000"/>
          <w:sz w:val="16"/>
        </w:rPr>
      </w:pPr>
    </w:p>
    <w:p w14:paraId="7623F366" w14:textId="77777777" w:rsidR="006D21A5" w:rsidRPr="006D21A5" w:rsidRDefault="00B96538" w:rsidP="006D21A5">
      <w:pPr>
        <w:pStyle w:val="Prrafodelista"/>
        <w:numPr>
          <w:ilvl w:val="0"/>
          <w:numId w:val="28"/>
        </w:numPr>
        <w:spacing w:after="160" w:line="259" w:lineRule="auto"/>
        <w:jc w:val="both"/>
        <w:rPr>
          <w:rFonts w:ascii="Arial Narrow" w:eastAsiaTheme="minorHAnsi" w:hAnsi="Arial Narrow" w:cs="Arial Narrow"/>
          <w:color w:val="000000"/>
          <w:sz w:val="22"/>
          <w:lang w:eastAsia="en-US"/>
        </w:rPr>
      </w:pPr>
      <w:r w:rsidRPr="006D21A5">
        <w:rPr>
          <w:sz w:val="22"/>
        </w:rPr>
        <w:t xml:space="preserve">En el aspecto financiero, se identificaron debilidades en el soporte del valor del proyecto. El presupuesto definido por la Dirección General hasta el 30 de junio de 2018, es de $276.262 millones de pesos incluida la dotación básica, sin embargo, no incluye la dotación definitiva, el mantenimiento y los costos de operación proyectados.  </w:t>
      </w:r>
    </w:p>
    <w:p w14:paraId="21B28EA9" w14:textId="77777777" w:rsidR="006D21A5" w:rsidRPr="006D21A5" w:rsidRDefault="006D21A5" w:rsidP="006D21A5">
      <w:pPr>
        <w:pStyle w:val="Prrafodelista"/>
        <w:spacing w:after="160" w:line="259" w:lineRule="auto"/>
        <w:jc w:val="both"/>
        <w:rPr>
          <w:rFonts w:ascii="Arial Narrow" w:eastAsiaTheme="minorHAnsi" w:hAnsi="Arial Narrow" w:cs="Arial Narrow"/>
          <w:color w:val="000000"/>
          <w:sz w:val="22"/>
          <w:lang w:eastAsia="en-US"/>
        </w:rPr>
      </w:pPr>
    </w:p>
    <w:p w14:paraId="7FD4DCAA" w14:textId="77777777" w:rsidR="006D21A5" w:rsidRPr="006D21A5" w:rsidRDefault="00B96538" w:rsidP="006D21A5">
      <w:pPr>
        <w:pStyle w:val="Prrafodelista"/>
        <w:numPr>
          <w:ilvl w:val="0"/>
          <w:numId w:val="28"/>
        </w:numPr>
        <w:spacing w:after="160" w:line="259" w:lineRule="auto"/>
        <w:jc w:val="both"/>
        <w:rPr>
          <w:rFonts w:ascii="Arial Narrow" w:eastAsiaTheme="minorHAnsi" w:hAnsi="Arial Narrow" w:cs="Arial Narrow"/>
          <w:color w:val="000000"/>
          <w:sz w:val="22"/>
          <w:lang w:eastAsia="en-US"/>
        </w:rPr>
      </w:pPr>
      <w:r w:rsidRPr="006D21A5">
        <w:rPr>
          <w:sz w:val="22"/>
        </w:rPr>
        <w:t xml:space="preserve">Respecto a la viabilidad definida para el proyecto se observó que está considerada a través de un empréstito de $220.000 millones de pesos, es decir se financiaría vía crédito en un 80% y cuyo respaldo de acuerdo con la documentación soporte sería la estampilla entre los años 2018 y 2032.  </w:t>
      </w:r>
    </w:p>
    <w:p w14:paraId="7A9245F4" w14:textId="77777777" w:rsidR="006D21A5" w:rsidRPr="006D21A5" w:rsidRDefault="006D21A5" w:rsidP="006D21A5">
      <w:pPr>
        <w:pStyle w:val="Prrafodelista"/>
        <w:rPr>
          <w:sz w:val="22"/>
        </w:rPr>
      </w:pPr>
    </w:p>
    <w:p w14:paraId="74A67FC3" w14:textId="207D3E89" w:rsidR="00B96538" w:rsidRPr="006D21A5" w:rsidRDefault="00B96538" w:rsidP="006D21A5">
      <w:pPr>
        <w:pStyle w:val="Prrafodelista"/>
        <w:spacing w:after="160" w:line="259" w:lineRule="auto"/>
        <w:jc w:val="both"/>
        <w:rPr>
          <w:rFonts w:ascii="Arial Narrow" w:eastAsiaTheme="minorHAnsi" w:hAnsi="Arial Narrow" w:cs="Arial Narrow"/>
          <w:color w:val="000000"/>
          <w:sz w:val="22"/>
          <w:lang w:eastAsia="en-US"/>
        </w:rPr>
      </w:pPr>
      <w:r w:rsidRPr="006D21A5">
        <w:rPr>
          <w:sz w:val="22"/>
        </w:rPr>
        <w:t>De acuerdo a lo proyectado se visualiza en las condiciones actuales de la Ley 122 de 1994 y la ley 1321 de 2009, relacionadas con la estampilla, que este recaudo llegaría al valor máximo establecido en la Ley aproximadamente en el año 2026 y el año final del pago del empréstito según lo proyectado sería en el año 2032, se observa entonces que para los 6 años finales es posible no contar con el respaldo de la estampilla para el pago del empréstito.</w:t>
      </w:r>
    </w:p>
    <w:p w14:paraId="32804318" w14:textId="77777777" w:rsidR="00B96538" w:rsidRDefault="00B96538" w:rsidP="00B96538">
      <w:pPr>
        <w:pStyle w:val="Default"/>
        <w:jc w:val="both"/>
        <w:rPr>
          <w:rFonts w:ascii="Times New Roman" w:eastAsia="Times New Roman" w:hAnsi="Times New Roman" w:cs="Times New Roman"/>
          <w:color w:val="auto"/>
          <w:sz w:val="22"/>
          <w:lang w:eastAsia="es-CO"/>
        </w:rPr>
      </w:pPr>
    </w:p>
    <w:p w14:paraId="7D9AAEE1" w14:textId="77777777" w:rsidR="00B96538" w:rsidRDefault="00B96538" w:rsidP="009651BC">
      <w:pPr>
        <w:pStyle w:val="Prrafodelista"/>
        <w:numPr>
          <w:ilvl w:val="0"/>
          <w:numId w:val="28"/>
        </w:numPr>
        <w:spacing w:after="160" w:line="259" w:lineRule="auto"/>
        <w:jc w:val="both"/>
        <w:rPr>
          <w:sz w:val="22"/>
        </w:rPr>
      </w:pPr>
      <w:r>
        <w:rPr>
          <w:sz w:val="22"/>
        </w:rPr>
        <w:t>Parte del financiamiento del proyecto incluye adicionalmente las expectativas de venta de algunos bienes inmuebles recomendados por la Comisión inmobiliaria del Consejo Superior, aspecto que debe evaluarse pues el grado de liquidez y opciones de realización de estos bienes puede ser limitada y requieren mayor avance en las gestiones administrativas.</w:t>
      </w:r>
    </w:p>
    <w:p w14:paraId="23DA0169" w14:textId="77777777" w:rsidR="00B96538" w:rsidRDefault="00B96538" w:rsidP="00EE0267">
      <w:pPr>
        <w:jc w:val="both"/>
        <w:rPr>
          <w:sz w:val="22"/>
        </w:rPr>
      </w:pPr>
    </w:p>
    <w:p w14:paraId="16A1B57A" w14:textId="38E6530F" w:rsidR="00EE0267" w:rsidRDefault="00EE0267" w:rsidP="009651BC">
      <w:pPr>
        <w:pStyle w:val="Prrafodelista"/>
        <w:numPr>
          <w:ilvl w:val="0"/>
          <w:numId w:val="28"/>
        </w:numPr>
        <w:spacing w:after="160" w:line="259" w:lineRule="auto"/>
        <w:jc w:val="both"/>
        <w:rPr>
          <w:sz w:val="22"/>
        </w:rPr>
      </w:pPr>
      <w:r>
        <w:rPr>
          <w:sz w:val="22"/>
        </w:rPr>
        <w:t>Debido al riesgo que representa una posible desfinanciación del proyecto, basados en una deuda con posibles dificultades para su pago y en la supuesta venta de activos, no se visualiza un financiamiento real, por lo que se reco</w:t>
      </w:r>
      <w:r w:rsidR="00031179">
        <w:rPr>
          <w:sz w:val="22"/>
        </w:rPr>
        <w:t>mienda revisar por parte de la A</w:t>
      </w:r>
      <w:r>
        <w:rPr>
          <w:sz w:val="22"/>
        </w:rPr>
        <w:t xml:space="preserve">dministración la </w:t>
      </w:r>
      <w:r w:rsidR="00031179">
        <w:rPr>
          <w:sz w:val="22"/>
        </w:rPr>
        <w:t xml:space="preserve">posibilidad en la </w:t>
      </w:r>
      <w:r>
        <w:rPr>
          <w:sz w:val="22"/>
        </w:rPr>
        <w:t xml:space="preserve">gestión de recursos extras de cooperación con entidades externas que fortalezcan la </w:t>
      </w:r>
      <w:r w:rsidR="00031179">
        <w:rPr>
          <w:sz w:val="22"/>
        </w:rPr>
        <w:t>financiación</w:t>
      </w:r>
      <w:r w:rsidRPr="009651BC">
        <w:rPr>
          <w:color w:val="FF0000"/>
          <w:sz w:val="22"/>
        </w:rPr>
        <w:t xml:space="preserve"> </w:t>
      </w:r>
      <w:r w:rsidR="00031179">
        <w:rPr>
          <w:sz w:val="22"/>
        </w:rPr>
        <w:t>de</w:t>
      </w:r>
      <w:r>
        <w:rPr>
          <w:sz w:val="22"/>
        </w:rPr>
        <w:t xml:space="preserve">l proyecto y continuar su normal desarrollo.  </w:t>
      </w:r>
    </w:p>
    <w:p w14:paraId="2E8EE986" w14:textId="75023F68" w:rsidR="00EE0267" w:rsidRDefault="00EE0267" w:rsidP="00510D67"/>
    <w:p w14:paraId="79CD6F66" w14:textId="77777777" w:rsidR="00F7561F" w:rsidRDefault="00B96538" w:rsidP="00F7561F">
      <w:pPr>
        <w:pStyle w:val="Prrafodelista"/>
        <w:numPr>
          <w:ilvl w:val="0"/>
          <w:numId w:val="28"/>
        </w:numPr>
        <w:spacing w:after="160" w:line="259" w:lineRule="auto"/>
        <w:jc w:val="both"/>
        <w:rPr>
          <w:sz w:val="22"/>
        </w:rPr>
      </w:pPr>
      <w:r>
        <w:rPr>
          <w:sz w:val="22"/>
        </w:rPr>
        <w:t>La gestión de recursos extra es determinante para la continuidad del proyecto, desde su diseño hasta su construcción y puesta en funcionamiento.  El actual contrato de mando requiere saber la decisión al respecto para reorientar los diseños y presupuestar con claridad toda la obra.</w:t>
      </w:r>
    </w:p>
    <w:p w14:paraId="5B7D6515" w14:textId="77777777" w:rsidR="00F7561F" w:rsidRPr="00F7561F" w:rsidRDefault="00F7561F" w:rsidP="00F7561F">
      <w:pPr>
        <w:pStyle w:val="Prrafodelista"/>
        <w:rPr>
          <w:sz w:val="22"/>
        </w:rPr>
      </w:pPr>
    </w:p>
    <w:p w14:paraId="16EA3A3D" w14:textId="438C2D12" w:rsidR="00B96538" w:rsidRPr="00F7561F" w:rsidRDefault="00F7561F" w:rsidP="00F7561F">
      <w:pPr>
        <w:pStyle w:val="Prrafodelista"/>
        <w:numPr>
          <w:ilvl w:val="0"/>
          <w:numId w:val="28"/>
        </w:numPr>
        <w:spacing w:after="160" w:line="259" w:lineRule="auto"/>
        <w:jc w:val="both"/>
        <w:rPr>
          <w:sz w:val="22"/>
        </w:rPr>
      </w:pPr>
      <w:r>
        <w:rPr>
          <w:sz w:val="22"/>
        </w:rPr>
        <w:t>En relación con el aspecto técnico, e</w:t>
      </w:r>
      <w:r w:rsidR="00B96538" w:rsidRPr="00F7561F">
        <w:rPr>
          <w:sz w:val="22"/>
        </w:rPr>
        <w:t xml:space="preserve">n la fase de diseños se observan debilidades en su seguimiento, lo que ha generado desfases en los contratos de la gerencia técnica pues ya finalizó y el contrato de diseños que se encuentra retrasado.  </w:t>
      </w:r>
    </w:p>
    <w:p w14:paraId="4D507BD0" w14:textId="77777777" w:rsidR="00B96538" w:rsidRDefault="00B96538" w:rsidP="00B96538">
      <w:pPr>
        <w:pStyle w:val="Default"/>
        <w:jc w:val="both"/>
        <w:rPr>
          <w:rFonts w:ascii="Times New Roman" w:eastAsia="Times New Roman" w:hAnsi="Times New Roman" w:cs="Times New Roman"/>
          <w:color w:val="auto"/>
          <w:sz w:val="22"/>
          <w:lang w:eastAsia="es-CO"/>
        </w:rPr>
      </w:pPr>
    </w:p>
    <w:p w14:paraId="55290BBC" w14:textId="77CD64ED" w:rsidR="000F2B78" w:rsidRPr="00264906" w:rsidRDefault="000F2B78" w:rsidP="002F342B">
      <w:pPr>
        <w:pStyle w:val="Prrafodelista"/>
        <w:numPr>
          <w:ilvl w:val="0"/>
          <w:numId w:val="28"/>
        </w:numPr>
        <w:spacing w:after="160" w:line="259" w:lineRule="auto"/>
        <w:jc w:val="both"/>
        <w:rPr>
          <w:sz w:val="22"/>
        </w:rPr>
      </w:pPr>
      <w:r w:rsidRPr="00264906">
        <w:rPr>
          <w:sz w:val="22"/>
        </w:rPr>
        <w:t>El diagnóstico de las sedes existentes, arroja como resultado una necesidad de reconstruir físicamente cada una de ellas.  El proyecto se encuentra bien concebido, analizado y radicado en el banco de p</w:t>
      </w:r>
      <w:r w:rsidR="002F342B">
        <w:rPr>
          <w:sz w:val="22"/>
        </w:rPr>
        <w:t>royectos BUPP.  El p</w:t>
      </w:r>
      <w:r w:rsidRPr="00264906">
        <w:rPr>
          <w:sz w:val="22"/>
        </w:rPr>
        <w:t xml:space="preserve">roceso arquitectónico ha evaluado previamente la concepción de espacios y necesidades, inventariando, diagnosticando y mejorando ostensiblemente lo existente.  El avance de los estudios </w:t>
      </w:r>
      <w:r>
        <w:rPr>
          <w:sz w:val="22"/>
        </w:rPr>
        <w:t>visualiza</w:t>
      </w:r>
      <w:r w:rsidRPr="00264906">
        <w:rPr>
          <w:sz w:val="22"/>
        </w:rPr>
        <w:t xml:space="preserve"> excelentes resultados </w:t>
      </w:r>
      <w:r>
        <w:rPr>
          <w:sz w:val="22"/>
        </w:rPr>
        <w:t>en</w:t>
      </w:r>
      <w:r w:rsidRPr="00264906">
        <w:rPr>
          <w:sz w:val="22"/>
        </w:rPr>
        <w:t xml:space="preserve"> la concepción arquitectónica desde la congregación efectiva para la prestación de servicios, eficiencia técnica y locativa, optimización del espacio, una proyección más eficiente de las áreas de la salud del proyecto, mayor control administrativo y un gran ahorro de recursos de funcionamiento.</w:t>
      </w:r>
      <w:r>
        <w:rPr>
          <w:sz w:val="22"/>
        </w:rPr>
        <w:t xml:space="preserve">  </w:t>
      </w:r>
    </w:p>
    <w:p w14:paraId="0B3F156A" w14:textId="4E3BA5AE" w:rsidR="00EE0267" w:rsidRDefault="00EE0267" w:rsidP="00510D67"/>
    <w:p w14:paraId="614FEADC" w14:textId="23B32CAC" w:rsidR="00EE0267" w:rsidRDefault="002F342B" w:rsidP="002F342B">
      <w:pPr>
        <w:pStyle w:val="Prrafodelista"/>
        <w:numPr>
          <w:ilvl w:val="0"/>
          <w:numId w:val="28"/>
        </w:numPr>
        <w:spacing w:after="160" w:line="259" w:lineRule="auto"/>
        <w:jc w:val="both"/>
      </w:pPr>
      <w:r>
        <w:rPr>
          <w:sz w:val="22"/>
        </w:rPr>
        <w:t>Se observa</w:t>
      </w:r>
      <w:r w:rsidR="000F2B78" w:rsidRPr="00264906">
        <w:rPr>
          <w:sz w:val="22"/>
        </w:rPr>
        <w:t xml:space="preserve"> un retraso en los diseños</w:t>
      </w:r>
      <w:r w:rsidR="000F2B78">
        <w:rPr>
          <w:sz w:val="22"/>
        </w:rPr>
        <w:t xml:space="preserve"> de</w:t>
      </w:r>
      <w:r w:rsidR="000F2B78" w:rsidRPr="00D613C6">
        <w:rPr>
          <w:sz w:val="22"/>
        </w:rPr>
        <w:t>l</w:t>
      </w:r>
      <w:r w:rsidR="000F2B78">
        <w:rPr>
          <w:color w:val="FF0000"/>
          <w:sz w:val="22"/>
        </w:rPr>
        <w:t xml:space="preserve"> </w:t>
      </w:r>
      <w:r w:rsidR="000F2B78" w:rsidRPr="00A8562A">
        <w:rPr>
          <w:sz w:val="22"/>
        </w:rPr>
        <w:t>60%</w:t>
      </w:r>
      <w:r w:rsidR="000F2B78">
        <w:rPr>
          <w:sz w:val="22"/>
        </w:rPr>
        <w:t>, es decir entre el contrato con la CIS y la Unión temporal</w:t>
      </w:r>
      <w:r w:rsidR="000F2B78" w:rsidRPr="00264906">
        <w:rPr>
          <w:sz w:val="22"/>
        </w:rPr>
        <w:t xml:space="preserve">, toda vez que el componente arquitectónico no ha llegado a su fase final, y posterior a este, el diseño estructural, hidrosanitario, eléctrico, redes de servicios, y el componente bioclimático entre otros, no pueden surtir sus correspondientes etapas de diseño por no estar plenamente definida la fase arquitectónica.  </w:t>
      </w:r>
    </w:p>
    <w:p w14:paraId="4833E2A4" w14:textId="77777777" w:rsidR="00EE0267" w:rsidRDefault="00EE0267" w:rsidP="00510D67"/>
    <w:p w14:paraId="51ACF12D" w14:textId="540490C3" w:rsidR="00EE0267" w:rsidRDefault="00EE0267" w:rsidP="00510D67"/>
    <w:p w14:paraId="52BB6101" w14:textId="77777777" w:rsidR="00EE0267" w:rsidRDefault="00EE0267" w:rsidP="00510D67"/>
    <w:p w14:paraId="31D20DAC" w14:textId="5AA9AF79" w:rsidR="00690B1C" w:rsidRDefault="00690B1C">
      <w:pPr>
        <w:spacing w:after="160" w:line="259" w:lineRule="auto"/>
      </w:pPr>
      <w:r>
        <w:br w:type="page"/>
      </w:r>
    </w:p>
    <w:p w14:paraId="3217A70C" w14:textId="42EAEFF1" w:rsidR="00AE1442" w:rsidRPr="00832D30" w:rsidRDefault="003472FC" w:rsidP="003A7278">
      <w:pPr>
        <w:pStyle w:val="Ttulo1"/>
        <w:numPr>
          <w:ilvl w:val="0"/>
          <w:numId w:val="82"/>
        </w:numPr>
        <w:ind w:left="426" w:hanging="426"/>
        <w:rPr>
          <w:rFonts w:ascii="Times New Roman" w:hAnsi="Times New Roman" w:cs="Times New Roman"/>
          <w:b/>
          <w:color w:val="385623" w:themeColor="accent6" w:themeShade="80"/>
          <w:sz w:val="24"/>
        </w:rPr>
      </w:pPr>
      <w:bookmarkStart w:id="22" w:name="_Toc526516474"/>
      <w:r w:rsidRPr="00832D30">
        <w:rPr>
          <w:rFonts w:ascii="Times New Roman" w:hAnsi="Times New Roman" w:cs="Times New Roman"/>
          <w:b/>
          <w:color w:val="385623" w:themeColor="accent6" w:themeShade="80"/>
          <w:sz w:val="24"/>
        </w:rPr>
        <w:lastRenderedPageBreak/>
        <w:t>RECOMENDACIONES</w:t>
      </w:r>
      <w:bookmarkEnd w:id="22"/>
    </w:p>
    <w:p w14:paraId="50905A18" w14:textId="1424CDE9" w:rsidR="002B35E5" w:rsidRDefault="002B35E5" w:rsidP="00A313C3">
      <w:pPr>
        <w:rPr>
          <w:b/>
          <w:color w:val="385623" w:themeColor="accent6" w:themeShade="80"/>
          <w:sz w:val="22"/>
        </w:rPr>
      </w:pPr>
    </w:p>
    <w:p w14:paraId="1BB4D46A" w14:textId="3D4E8322" w:rsidR="00587A6B" w:rsidRPr="00C35CF7" w:rsidRDefault="00C35CF7" w:rsidP="00C35CF7">
      <w:pPr>
        <w:pStyle w:val="Prrafodelista"/>
        <w:numPr>
          <w:ilvl w:val="0"/>
          <w:numId w:val="28"/>
        </w:numPr>
        <w:spacing w:after="160" w:line="259" w:lineRule="auto"/>
        <w:jc w:val="both"/>
        <w:rPr>
          <w:sz w:val="22"/>
        </w:rPr>
      </w:pPr>
      <w:r>
        <w:rPr>
          <w:sz w:val="22"/>
        </w:rPr>
        <w:t>En relación con l</w:t>
      </w:r>
      <w:r w:rsidR="00D801CA">
        <w:rPr>
          <w:sz w:val="22"/>
        </w:rPr>
        <w:t xml:space="preserve">os actos administrativo </w:t>
      </w:r>
      <w:r>
        <w:rPr>
          <w:sz w:val="22"/>
        </w:rPr>
        <w:t>recomendamos a</w:t>
      </w:r>
      <w:r w:rsidR="0005407E" w:rsidRPr="00C35CF7">
        <w:rPr>
          <w:sz w:val="22"/>
        </w:rPr>
        <w:t>nalizar los emitidos por el Consejo Superior y el Rector, con asig</w:t>
      </w:r>
      <w:r>
        <w:rPr>
          <w:sz w:val="22"/>
        </w:rPr>
        <w:t>nación de recursos para la Facultad Nacional de Salud Pública</w:t>
      </w:r>
      <w:r w:rsidR="0005407E" w:rsidRPr="00C35CF7">
        <w:rPr>
          <w:sz w:val="22"/>
        </w:rPr>
        <w:t xml:space="preserve"> y la </w:t>
      </w:r>
      <w:r w:rsidR="0005407E">
        <w:rPr>
          <w:sz w:val="22"/>
        </w:rPr>
        <w:t>viabilidad de aplicación en otro</w:t>
      </w:r>
      <w:r w:rsidR="0005407E" w:rsidRPr="00C35CF7">
        <w:rPr>
          <w:sz w:val="22"/>
        </w:rPr>
        <w:t xml:space="preserve"> proyecto.</w:t>
      </w:r>
    </w:p>
    <w:p w14:paraId="5FA13050" w14:textId="77777777" w:rsidR="00C35CF7" w:rsidRDefault="00C35CF7" w:rsidP="00C35CF7">
      <w:pPr>
        <w:pStyle w:val="Prrafodelista"/>
        <w:spacing w:after="160" w:line="259" w:lineRule="auto"/>
        <w:jc w:val="both"/>
        <w:rPr>
          <w:sz w:val="22"/>
        </w:rPr>
      </w:pPr>
    </w:p>
    <w:p w14:paraId="3444528B" w14:textId="638C3D82" w:rsidR="0005407E" w:rsidRDefault="0005407E" w:rsidP="00053410">
      <w:pPr>
        <w:pStyle w:val="Prrafodelista"/>
        <w:numPr>
          <w:ilvl w:val="0"/>
          <w:numId w:val="28"/>
        </w:numPr>
        <w:spacing w:after="160" w:line="259" w:lineRule="auto"/>
        <w:jc w:val="both"/>
        <w:rPr>
          <w:sz w:val="22"/>
        </w:rPr>
      </w:pPr>
      <w:r>
        <w:rPr>
          <w:sz w:val="22"/>
        </w:rPr>
        <w:t>Considerar generar desde el Consejo Superior un acto administrativo definiendo las dependencias, facultades, unidades y demás que conforman el Proyecto y así tener sincronía y congruencia con los diseños que actualmente se están realizando a través del contrato de mandato con la CIS</w:t>
      </w:r>
    </w:p>
    <w:p w14:paraId="3B2522F2" w14:textId="77777777" w:rsidR="0005407E" w:rsidRDefault="0005407E" w:rsidP="0005407E">
      <w:pPr>
        <w:pStyle w:val="Prrafodelista"/>
        <w:spacing w:after="160" w:line="259" w:lineRule="auto"/>
        <w:jc w:val="both"/>
        <w:rPr>
          <w:sz w:val="22"/>
        </w:rPr>
      </w:pPr>
    </w:p>
    <w:p w14:paraId="5DCC962D" w14:textId="47DAE9B3" w:rsidR="00B96538" w:rsidRPr="00F93F46" w:rsidRDefault="00B96538" w:rsidP="00053410">
      <w:pPr>
        <w:pStyle w:val="Prrafodelista"/>
        <w:numPr>
          <w:ilvl w:val="0"/>
          <w:numId w:val="28"/>
        </w:numPr>
        <w:spacing w:after="160" w:line="259" w:lineRule="auto"/>
        <w:jc w:val="both"/>
        <w:rPr>
          <w:sz w:val="22"/>
        </w:rPr>
      </w:pPr>
      <w:r>
        <w:rPr>
          <w:sz w:val="22"/>
        </w:rPr>
        <w:t xml:space="preserve">No </w:t>
      </w:r>
      <w:r w:rsidRPr="00264906">
        <w:rPr>
          <w:sz w:val="22"/>
        </w:rPr>
        <w:t xml:space="preserve">recomendamos un endeudamiento por el monto del proyecto, ni por la cifra </w:t>
      </w:r>
      <w:r>
        <w:rPr>
          <w:sz w:val="22"/>
        </w:rPr>
        <w:t>estimada</w:t>
      </w:r>
      <w:r w:rsidRPr="00264906">
        <w:rPr>
          <w:sz w:val="22"/>
        </w:rPr>
        <w:t xml:space="preserve"> de $220.000 millones de pesos</w:t>
      </w:r>
      <w:r>
        <w:rPr>
          <w:sz w:val="22"/>
        </w:rPr>
        <w:t xml:space="preserve">.  Recomendamos tener en cuenta que el adquirir este empréstito comprometería significativamente el flujo de caja de la Universidad en los próximos 15 años y limitaría de manera importante la adquisición de nuevos créditos y realización de nuevos proyectos.  </w:t>
      </w:r>
    </w:p>
    <w:p w14:paraId="0CAA2A7F" w14:textId="77777777" w:rsidR="00B96538" w:rsidRDefault="00B96538" w:rsidP="00B96538">
      <w:pPr>
        <w:jc w:val="both"/>
        <w:rPr>
          <w:sz w:val="22"/>
        </w:rPr>
      </w:pPr>
    </w:p>
    <w:p w14:paraId="66E642BA" w14:textId="1C2DBBEC" w:rsidR="00B96538" w:rsidRDefault="00B96538" w:rsidP="00053410">
      <w:pPr>
        <w:pStyle w:val="Prrafodelista"/>
        <w:numPr>
          <w:ilvl w:val="0"/>
          <w:numId w:val="28"/>
        </w:numPr>
        <w:spacing w:after="160" w:line="259" w:lineRule="auto"/>
        <w:jc w:val="both"/>
        <w:rPr>
          <w:sz w:val="22"/>
        </w:rPr>
      </w:pPr>
      <w:r>
        <w:rPr>
          <w:sz w:val="22"/>
        </w:rPr>
        <w:t xml:space="preserve">Se recomienda contratar la interventoría del proyecto, dada su complejidad, alta relevancia institucional y altos costos desde la fase de diseños, y no designar estas funciones en las dependencias propias de la Universidad.  Para este caso específico, se recomienda </w:t>
      </w:r>
      <w:r w:rsidR="002C1E0F" w:rsidRPr="002C1E0F">
        <w:rPr>
          <w:sz w:val="22"/>
        </w:rPr>
        <w:t>la conformación</w:t>
      </w:r>
      <w:r w:rsidR="002C1E0F">
        <w:rPr>
          <w:sz w:val="22"/>
        </w:rPr>
        <w:t xml:space="preserve"> del equipo técnico, </w:t>
      </w:r>
      <w:r>
        <w:rPr>
          <w:sz w:val="22"/>
        </w:rPr>
        <w:t>designar o contratar con dedicación completa como mínimo un arquitecto y una persona del área administrativa y financiera, para hacer el seguimiento al proyecto hasta terminar los estudios y diseños.</w:t>
      </w:r>
    </w:p>
    <w:p w14:paraId="705E82A1" w14:textId="77777777" w:rsidR="00053410" w:rsidRDefault="00053410" w:rsidP="00053410">
      <w:pPr>
        <w:pStyle w:val="Prrafodelista"/>
        <w:spacing w:after="160" w:line="259" w:lineRule="auto"/>
        <w:jc w:val="both"/>
        <w:rPr>
          <w:sz w:val="22"/>
        </w:rPr>
      </w:pPr>
    </w:p>
    <w:p w14:paraId="60652A33" w14:textId="6C50BC8E" w:rsidR="000F2B78" w:rsidRPr="00AF3AAB" w:rsidRDefault="000F2B78" w:rsidP="00053410">
      <w:pPr>
        <w:pStyle w:val="Prrafodelista"/>
        <w:numPr>
          <w:ilvl w:val="0"/>
          <w:numId w:val="28"/>
        </w:numPr>
        <w:spacing w:after="160" w:line="259" w:lineRule="auto"/>
        <w:jc w:val="both"/>
        <w:rPr>
          <w:sz w:val="22"/>
        </w:rPr>
      </w:pPr>
      <w:r w:rsidRPr="00AF3AAB">
        <w:rPr>
          <w:sz w:val="22"/>
        </w:rPr>
        <w:t xml:space="preserve">Considerar realizar gestión externa de recursos de cooperación, buscando </w:t>
      </w:r>
      <w:r>
        <w:rPr>
          <w:sz w:val="22"/>
        </w:rPr>
        <w:t xml:space="preserve">ubicar </w:t>
      </w:r>
      <w:r w:rsidRPr="00AF3AAB">
        <w:rPr>
          <w:sz w:val="22"/>
        </w:rPr>
        <w:t>el proyecto de</w:t>
      </w:r>
      <w:r>
        <w:rPr>
          <w:sz w:val="22"/>
        </w:rPr>
        <w:t xml:space="preserve"> interés nacional o </w:t>
      </w:r>
      <w:r w:rsidRPr="00AF3AAB">
        <w:rPr>
          <w:sz w:val="22"/>
        </w:rPr>
        <w:t>metropolitano y propiciar la inclusión de diferentes organismos del estado relacionados con el área de la salud.</w:t>
      </w:r>
    </w:p>
    <w:p w14:paraId="31B5C9E6" w14:textId="379E4EB7" w:rsidR="00B96538" w:rsidRPr="00B96538" w:rsidRDefault="00B96538" w:rsidP="00B96538">
      <w:pPr>
        <w:jc w:val="both"/>
        <w:rPr>
          <w:sz w:val="22"/>
        </w:rPr>
      </w:pPr>
    </w:p>
    <w:p w14:paraId="6C6187F8" w14:textId="743841D7" w:rsidR="000F2B78" w:rsidRPr="0005407E" w:rsidRDefault="000F2B78" w:rsidP="00053410">
      <w:pPr>
        <w:pStyle w:val="Prrafodelista"/>
        <w:numPr>
          <w:ilvl w:val="0"/>
          <w:numId w:val="28"/>
        </w:numPr>
        <w:spacing w:after="160" w:line="259" w:lineRule="auto"/>
        <w:jc w:val="both"/>
        <w:rPr>
          <w:sz w:val="22"/>
        </w:rPr>
      </w:pPr>
      <w:r w:rsidRPr="0005407E">
        <w:rPr>
          <w:sz w:val="22"/>
        </w:rPr>
        <w:t xml:space="preserve">Recomendamos tener en cuenta como un componente del proyecto en la fase de diseños, un aspecto que contemple una participación más activa e incluyente de las dependencias que hacen parte del proyecto, de manera que se permita un adecuado ejercicio de planeación y por tanto un buen desarrollo.  En tal sentido, considerar la participación de cada una de las Sedes con carácter de supervisión directa en la fase de diseño. </w:t>
      </w:r>
    </w:p>
    <w:p w14:paraId="6DAEAEBB" w14:textId="39DD9696" w:rsidR="002C1E0F" w:rsidRPr="002C1E0F" w:rsidRDefault="002C1E0F" w:rsidP="002C1E0F">
      <w:pPr>
        <w:pStyle w:val="Default"/>
        <w:numPr>
          <w:ilvl w:val="0"/>
          <w:numId w:val="28"/>
        </w:numPr>
        <w:jc w:val="both"/>
        <w:rPr>
          <w:rFonts w:ascii="Times New Roman" w:eastAsia="Times New Roman" w:hAnsi="Times New Roman" w:cs="Times New Roman"/>
          <w:color w:val="auto"/>
          <w:sz w:val="22"/>
          <w:lang w:eastAsia="es-CO"/>
        </w:rPr>
      </w:pPr>
      <w:r w:rsidRPr="002C1E0F">
        <w:rPr>
          <w:rFonts w:ascii="Times New Roman" w:eastAsia="Times New Roman" w:hAnsi="Times New Roman" w:cs="Times New Roman"/>
          <w:color w:val="auto"/>
          <w:sz w:val="22"/>
          <w:lang w:eastAsia="es-CO"/>
        </w:rPr>
        <w:t>Evaluar el estado de los contratos del proyecto. Determinar contratos vigentes y suspendidos por parte de la CIS; así mismo, identificar el estado de ava</w:t>
      </w:r>
      <w:r>
        <w:rPr>
          <w:rFonts w:ascii="Times New Roman" w:eastAsia="Times New Roman" w:hAnsi="Times New Roman" w:cs="Times New Roman"/>
          <w:color w:val="auto"/>
          <w:sz w:val="22"/>
          <w:lang w:eastAsia="es-CO"/>
        </w:rPr>
        <w:t>nce y retrasos en el cronograma, v</w:t>
      </w:r>
      <w:r w:rsidRPr="002C1E0F">
        <w:rPr>
          <w:rFonts w:ascii="Times New Roman" w:eastAsia="Times New Roman" w:hAnsi="Times New Roman" w:cs="Times New Roman"/>
          <w:color w:val="auto"/>
          <w:sz w:val="22"/>
          <w:lang w:eastAsia="es-CO"/>
        </w:rPr>
        <w:t>alidando con la CIS las situaciones identificadas con la CIS y considerar el replantear la reprogramación</w:t>
      </w:r>
    </w:p>
    <w:p w14:paraId="4F3E9726" w14:textId="0652819C" w:rsidR="00B96538" w:rsidRDefault="00B96538" w:rsidP="00B96538">
      <w:pPr>
        <w:jc w:val="both"/>
        <w:rPr>
          <w:sz w:val="22"/>
        </w:rPr>
      </w:pPr>
    </w:p>
    <w:p w14:paraId="301B530A" w14:textId="5CC563CC" w:rsidR="000F2B78" w:rsidRDefault="000F2B78" w:rsidP="00053410">
      <w:pPr>
        <w:pStyle w:val="Prrafodelista"/>
        <w:numPr>
          <w:ilvl w:val="0"/>
          <w:numId w:val="28"/>
        </w:numPr>
        <w:spacing w:after="160" w:line="259" w:lineRule="auto"/>
        <w:jc w:val="both"/>
        <w:rPr>
          <w:sz w:val="22"/>
        </w:rPr>
      </w:pPr>
      <w:r w:rsidRPr="00264906">
        <w:rPr>
          <w:sz w:val="22"/>
        </w:rPr>
        <w:t>Se recomienda</w:t>
      </w:r>
      <w:r>
        <w:rPr>
          <w:sz w:val="22"/>
        </w:rPr>
        <w:t xml:space="preserve"> para la fase de diseño nivelar mediante prórrogas en plazo y en cronograma de ejecución, los contratos de gerencia, interventoría y diseño.  Para ello, recomendamos validar esta situación con la CIS y considerar una reprogramación oportuna y plan de contingencia, además del cumplimiento de sus obligaciones contractuales.  Respecto a la reprogramación se recomienda concertarla con los diseñadores y dependerá en exclusiva de la decisión de la Administración sobre la continuidad del proyecto.</w:t>
      </w:r>
    </w:p>
    <w:p w14:paraId="63AA49E0" w14:textId="77777777" w:rsidR="00012CC6" w:rsidRDefault="00012CC6" w:rsidP="00012CC6">
      <w:pPr>
        <w:pStyle w:val="Prrafodelista"/>
        <w:spacing w:after="160" w:line="259" w:lineRule="auto"/>
        <w:jc w:val="both"/>
        <w:rPr>
          <w:sz w:val="22"/>
        </w:rPr>
      </w:pPr>
    </w:p>
    <w:p w14:paraId="3787C0FF" w14:textId="0E6AC2CC" w:rsidR="00012CC6" w:rsidRPr="009D4AFB" w:rsidRDefault="009D4AFB" w:rsidP="00012CC6">
      <w:pPr>
        <w:pStyle w:val="Prrafodelista"/>
        <w:numPr>
          <w:ilvl w:val="0"/>
          <w:numId w:val="28"/>
        </w:numPr>
        <w:spacing w:after="160" w:line="259" w:lineRule="auto"/>
        <w:jc w:val="both"/>
        <w:rPr>
          <w:sz w:val="22"/>
        </w:rPr>
        <w:sectPr w:rsidR="00012CC6" w:rsidRPr="009D4AFB" w:rsidSect="00460E0E">
          <w:headerReference w:type="default" r:id="rId17"/>
          <w:pgSz w:w="12240" w:h="15840"/>
          <w:pgMar w:top="1276" w:right="1701" w:bottom="1134" w:left="1701" w:header="851" w:footer="340" w:gutter="0"/>
          <w:cols w:space="708"/>
          <w:docGrid w:linePitch="360"/>
        </w:sectPr>
      </w:pPr>
      <w:r>
        <w:rPr>
          <w:sz w:val="22"/>
        </w:rPr>
        <w:t xml:space="preserve">Considerar </w:t>
      </w:r>
      <w:r w:rsidR="00012CC6" w:rsidRPr="009D4AFB">
        <w:rPr>
          <w:sz w:val="22"/>
        </w:rPr>
        <w:t>realizar auditoria  al contrato CIS y UT</w:t>
      </w:r>
      <w:r w:rsidR="00664A62" w:rsidRPr="009D4AFB">
        <w:rPr>
          <w:sz w:val="22"/>
        </w:rPr>
        <w:t xml:space="preserve"> posterior desde  lo </w:t>
      </w:r>
      <w:r w:rsidRPr="009D4AFB">
        <w:rPr>
          <w:sz w:val="22"/>
        </w:rPr>
        <w:t>Arquitectónico</w:t>
      </w:r>
    </w:p>
    <w:p w14:paraId="51A77A4D" w14:textId="7C286991" w:rsidR="00571BEB" w:rsidRPr="009675DA" w:rsidRDefault="00571BEB" w:rsidP="00C9044B">
      <w:pPr>
        <w:pStyle w:val="Ttulo1"/>
        <w:jc w:val="center"/>
        <w:rPr>
          <w:rFonts w:ascii="Times New Roman" w:hAnsi="Times New Roman" w:cs="Times New Roman"/>
          <w:b/>
          <w:color w:val="385623" w:themeColor="accent6" w:themeShade="80"/>
          <w:sz w:val="24"/>
        </w:rPr>
      </w:pPr>
      <w:bookmarkStart w:id="23" w:name="_Toc526516475"/>
      <w:r w:rsidRPr="00C9044B">
        <w:rPr>
          <w:rFonts w:ascii="Times New Roman" w:hAnsi="Times New Roman" w:cs="Times New Roman"/>
          <w:b/>
          <w:color w:val="385623" w:themeColor="accent6" w:themeShade="80"/>
          <w:sz w:val="24"/>
        </w:rPr>
        <w:lastRenderedPageBreak/>
        <w:t>ANEXO 1</w:t>
      </w:r>
      <w:r w:rsidR="00C9044B">
        <w:rPr>
          <w:rFonts w:ascii="Times New Roman" w:hAnsi="Times New Roman" w:cs="Times New Roman"/>
          <w:b/>
          <w:color w:val="385623" w:themeColor="accent6" w:themeShade="80"/>
          <w:sz w:val="24"/>
        </w:rPr>
        <w:t xml:space="preserve"> -Actos administrativos-</w:t>
      </w:r>
      <w:bookmarkEnd w:id="23"/>
    </w:p>
    <w:p w14:paraId="5C921878" w14:textId="6BC1A542" w:rsidR="00571BEB" w:rsidRDefault="00571BEB">
      <w:pPr>
        <w:rPr>
          <w:sz w:val="22"/>
        </w:rPr>
      </w:pPr>
    </w:p>
    <w:p w14:paraId="2858D626" w14:textId="77777777" w:rsidR="00571BEB" w:rsidRPr="004D754E" w:rsidRDefault="00571BEB" w:rsidP="00571BEB">
      <w:pPr>
        <w:rPr>
          <w:b/>
          <w:color w:val="385623" w:themeColor="accent6" w:themeShade="80"/>
          <w:sz w:val="22"/>
        </w:rPr>
      </w:pPr>
      <w:bookmarkStart w:id="24" w:name="_Toc512332496"/>
      <w:r w:rsidRPr="004D754E">
        <w:rPr>
          <w:b/>
          <w:color w:val="385623" w:themeColor="accent6" w:themeShade="80"/>
          <w:sz w:val="22"/>
        </w:rPr>
        <w:t>Resoluciones Superiores</w:t>
      </w:r>
      <w:bookmarkEnd w:id="24"/>
    </w:p>
    <w:p w14:paraId="731C333D" w14:textId="77777777" w:rsidR="00571BEB" w:rsidRPr="007D5394" w:rsidRDefault="00571BEB" w:rsidP="00571BEB">
      <w:pPr>
        <w:ind w:left="426"/>
        <w:rPr>
          <w:sz w:val="18"/>
        </w:rPr>
      </w:pPr>
    </w:p>
    <w:tbl>
      <w:tblPr>
        <w:tblStyle w:val="Tabladecuadrcula2-nfasis6"/>
        <w:tblW w:w="10490" w:type="dxa"/>
        <w:jc w:val="center"/>
        <w:tblLook w:val="04A0" w:firstRow="1" w:lastRow="0" w:firstColumn="1" w:lastColumn="0" w:noHBand="0" w:noVBand="1"/>
      </w:tblPr>
      <w:tblGrid>
        <w:gridCol w:w="1047"/>
        <w:gridCol w:w="1363"/>
        <w:gridCol w:w="8080"/>
      </w:tblGrid>
      <w:tr w:rsidR="00571BEB" w:rsidRPr="002F4A7A" w14:paraId="2B98B01E" w14:textId="77777777" w:rsidTr="003B3149">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047" w:type="dxa"/>
            <w:vAlign w:val="center"/>
          </w:tcPr>
          <w:p w14:paraId="1BE69749" w14:textId="77777777" w:rsidR="00571BEB" w:rsidRPr="002F4A7A" w:rsidRDefault="00571BEB" w:rsidP="00385846">
            <w:pPr>
              <w:jc w:val="center"/>
              <w:rPr>
                <w:i/>
                <w:color w:val="385623" w:themeColor="accent6" w:themeShade="80"/>
                <w:sz w:val="18"/>
                <w:szCs w:val="18"/>
              </w:rPr>
            </w:pPr>
            <w:r w:rsidRPr="002F4A7A">
              <w:rPr>
                <w:i/>
                <w:color w:val="385623" w:themeColor="accent6" w:themeShade="80"/>
                <w:sz w:val="18"/>
                <w:szCs w:val="18"/>
              </w:rPr>
              <w:t>Resolución Superior</w:t>
            </w:r>
          </w:p>
        </w:tc>
        <w:tc>
          <w:tcPr>
            <w:tcW w:w="1363" w:type="dxa"/>
            <w:vAlign w:val="center"/>
          </w:tcPr>
          <w:p w14:paraId="78468330" w14:textId="77777777" w:rsidR="00571BEB" w:rsidRPr="002F4A7A" w:rsidRDefault="00571BEB" w:rsidP="00385846">
            <w:pPr>
              <w:jc w:val="center"/>
              <w:cnfStyle w:val="100000000000" w:firstRow="1" w:lastRow="0" w:firstColumn="0" w:lastColumn="0" w:oddVBand="0" w:evenVBand="0" w:oddHBand="0" w:evenHBand="0" w:firstRowFirstColumn="0" w:firstRowLastColumn="0" w:lastRowFirstColumn="0" w:lastRowLastColumn="0"/>
              <w:rPr>
                <w:i/>
                <w:color w:val="385623" w:themeColor="accent6" w:themeShade="80"/>
                <w:sz w:val="18"/>
                <w:szCs w:val="18"/>
              </w:rPr>
            </w:pPr>
            <w:r w:rsidRPr="002F4A7A">
              <w:rPr>
                <w:i/>
                <w:color w:val="385623" w:themeColor="accent6" w:themeShade="80"/>
                <w:sz w:val="18"/>
                <w:szCs w:val="18"/>
              </w:rPr>
              <w:t>Fecha</w:t>
            </w:r>
          </w:p>
        </w:tc>
        <w:tc>
          <w:tcPr>
            <w:tcW w:w="8080" w:type="dxa"/>
            <w:vAlign w:val="center"/>
          </w:tcPr>
          <w:p w14:paraId="4423C711" w14:textId="77777777" w:rsidR="00571BEB" w:rsidRPr="002F4A7A" w:rsidRDefault="00571BEB" w:rsidP="00385846">
            <w:pPr>
              <w:jc w:val="center"/>
              <w:cnfStyle w:val="100000000000" w:firstRow="1" w:lastRow="0" w:firstColumn="0" w:lastColumn="0" w:oddVBand="0" w:evenVBand="0" w:oddHBand="0" w:evenHBand="0" w:firstRowFirstColumn="0" w:firstRowLastColumn="0" w:lastRowFirstColumn="0" w:lastRowLastColumn="0"/>
              <w:rPr>
                <w:i/>
                <w:color w:val="385623" w:themeColor="accent6" w:themeShade="80"/>
                <w:sz w:val="18"/>
                <w:szCs w:val="18"/>
              </w:rPr>
            </w:pPr>
            <w:r w:rsidRPr="002F4A7A">
              <w:rPr>
                <w:i/>
                <w:color w:val="385623" w:themeColor="accent6" w:themeShade="80"/>
                <w:sz w:val="18"/>
                <w:szCs w:val="18"/>
              </w:rPr>
              <w:t>Observación</w:t>
            </w:r>
          </w:p>
        </w:tc>
      </w:tr>
      <w:tr w:rsidR="00571BEB" w:rsidRPr="009C427D" w14:paraId="5A2B5689" w14:textId="77777777" w:rsidTr="003B3149">
        <w:trPr>
          <w:cnfStyle w:val="000000100000" w:firstRow="0" w:lastRow="0" w:firstColumn="0" w:lastColumn="0" w:oddVBand="0" w:evenVBand="0" w:oddHBand="1" w:evenHBand="0" w:firstRowFirstColumn="0" w:firstRowLastColumn="0" w:lastRowFirstColumn="0" w:lastRowLastColumn="0"/>
          <w:trHeight w:val="837"/>
          <w:jc w:val="center"/>
        </w:trPr>
        <w:tc>
          <w:tcPr>
            <w:cnfStyle w:val="001000000000" w:firstRow="0" w:lastRow="0" w:firstColumn="1" w:lastColumn="0" w:oddVBand="0" w:evenVBand="0" w:oddHBand="0" w:evenHBand="0" w:firstRowFirstColumn="0" w:firstRowLastColumn="0" w:lastRowFirstColumn="0" w:lastRowLastColumn="0"/>
            <w:tcW w:w="1047" w:type="dxa"/>
            <w:vAlign w:val="center"/>
          </w:tcPr>
          <w:p w14:paraId="1BA939AE" w14:textId="77777777" w:rsidR="00571BEB" w:rsidRPr="009C427D" w:rsidRDefault="00571BEB" w:rsidP="00385846">
            <w:pPr>
              <w:jc w:val="center"/>
              <w:rPr>
                <w:color w:val="222222"/>
                <w:sz w:val="18"/>
                <w:szCs w:val="18"/>
              </w:rPr>
            </w:pPr>
            <w:r w:rsidRPr="009C427D">
              <w:rPr>
                <w:color w:val="222222"/>
                <w:sz w:val="18"/>
                <w:szCs w:val="18"/>
              </w:rPr>
              <w:t>1915</w:t>
            </w:r>
          </w:p>
        </w:tc>
        <w:tc>
          <w:tcPr>
            <w:tcW w:w="1363" w:type="dxa"/>
            <w:vAlign w:val="center"/>
          </w:tcPr>
          <w:p w14:paraId="46168654" w14:textId="77777777" w:rsidR="00571BEB" w:rsidRPr="009C427D" w:rsidRDefault="00571BEB" w:rsidP="00385846">
            <w:pPr>
              <w:jc w:val="center"/>
              <w:cnfStyle w:val="000000100000" w:firstRow="0" w:lastRow="0" w:firstColumn="0" w:lastColumn="0" w:oddVBand="0" w:evenVBand="0" w:oddHBand="1" w:evenHBand="0" w:firstRowFirstColumn="0" w:firstRowLastColumn="0" w:lastRowFirstColumn="0" w:lastRowLastColumn="0"/>
              <w:rPr>
                <w:color w:val="222222"/>
                <w:sz w:val="18"/>
                <w:szCs w:val="18"/>
              </w:rPr>
            </w:pPr>
            <w:r w:rsidRPr="009C427D">
              <w:rPr>
                <w:color w:val="222222"/>
                <w:sz w:val="18"/>
                <w:szCs w:val="18"/>
              </w:rPr>
              <w:t>12 de marzo de 2014</w:t>
            </w:r>
          </w:p>
        </w:tc>
        <w:tc>
          <w:tcPr>
            <w:tcW w:w="8080" w:type="dxa"/>
            <w:vAlign w:val="center"/>
          </w:tcPr>
          <w:p w14:paraId="692C0E3E" w14:textId="0F5B5507" w:rsidR="00571BEB" w:rsidRPr="009C427D" w:rsidRDefault="00571BEB" w:rsidP="00385846">
            <w:pPr>
              <w:cnfStyle w:val="000000100000" w:firstRow="0" w:lastRow="0" w:firstColumn="0" w:lastColumn="0" w:oddVBand="0" w:evenVBand="0" w:oddHBand="1" w:evenHBand="0" w:firstRowFirstColumn="0" w:firstRowLastColumn="0" w:lastRowFirstColumn="0" w:lastRowLastColumn="0"/>
              <w:rPr>
                <w:color w:val="222222"/>
                <w:sz w:val="18"/>
                <w:szCs w:val="18"/>
              </w:rPr>
            </w:pPr>
            <w:r>
              <w:rPr>
                <w:b/>
                <w:color w:val="222222"/>
                <w:sz w:val="18"/>
                <w:szCs w:val="18"/>
              </w:rPr>
              <w:t>A</w:t>
            </w:r>
            <w:r w:rsidRPr="009C427D">
              <w:rPr>
                <w:color w:val="222222"/>
                <w:sz w:val="18"/>
                <w:szCs w:val="18"/>
              </w:rPr>
              <w:t xml:space="preserve">utorizó al Rector para adquirir el inmueble de la antigua Editorial Bedout; el considerando 5, expresa: “El Consejo de la </w:t>
            </w:r>
            <w:r w:rsidRPr="00C9044B">
              <w:rPr>
                <w:b/>
                <w:sz w:val="18"/>
                <w:szCs w:val="18"/>
              </w:rPr>
              <w:t>Facultad Nacional de Salud Pública</w:t>
            </w:r>
            <w:r w:rsidRPr="00C9044B">
              <w:rPr>
                <w:sz w:val="18"/>
                <w:szCs w:val="18"/>
              </w:rPr>
              <w:t xml:space="preserve"> </w:t>
            </w:r>
            <w:r w:rsidRPr="009C427D">
              <w:rPr>
                <w:color w:val="222222"/>
                <w:sz w:val="18"/>
                <w:szCs w:val="18"/>
              </w:rPr>
              <w:t>ha considerado viable la adquisición del referido inmueble”</w:t>
            </w:r>
            <w:r w:rsidR="00385846">
              <w:rPr>
                <w:color w:val="222222"/>
                <w:sz w:val="18"/>
                <w:szCs w:val="18"/>
              </w:rPr>
              <w:t xml:space="preserve"> </w:t>
            </w:r>
            <w:r w:rsidR="001A0AC7">
              <w:rPr>
                <w:color w:val="222222"/>
                <w:sz w:val="18"/>
                <w:szCs w:val="18"/>
              </w:rPr>
              <w:t>hasta por $9 mil millones.</w:t>
            </w:r>
          </w:p>
        </w:tc>
      </w:tr>
      <w:tr w:rsidR="001A0AC7" w:rsidRPr="009C427D" w14:paraId="1E9B3254" w14:textId="77777777" w:rsidTr="001A0AC7">
        <w:trPr>
          <w:trHeight w:val="514"/>
          <w:jc w:val="center"/>
        </w:trPr>
        <w:tc>
          <w:tcPr>
            <w:cnfStyle w:val="001000000000" w:firstRow="0" w:lastRow="0" w:firstColumn="1" w:lastColumn="0" w:oddVBand="0" w:evenVBand="0" w:oddHBand="0" w:evenHBand="0" w:firstRowFirstColumn="0" w:firstRowLastColumn="0" w:lastRowFirstColumn="0" w:lastRowLastColumn="0"/>
            <w:tcW w:w="1047" w:type="dxa"/>
            <w:vAlign w:val="center"/>
          </w:tcPr>
          <w:p w14:paraId="3C3E637B" w14:textId="4C08712F" w:rsidR="001A0AC7" w:rsidRPr="009C427D" w:rsidRDefault="001A0AC7" w:rsidP="00385846">
            <w:pPr>
              <w:jc w:val="center"/>
              <w:rPr>
                <w:color w:val="222222"/>
                <w:sz w:val="18"/>
                <w:szCs w:val="18"/>
              </w:rPr>
            </w:pPr>
            <w:r>
              <w:rPr>
                <w:color w:val="222222"/>
                <w:sz w:val="18"/>
                <w:szCs w:val="18"/>
              </w:rPr>
              <w:t>1945</w:t>
            </w:r>
          </w:p>
        </w:tc>
        <w:tc>
          <w:tcPr>
            <w:tcW w:w="1363" w:type="dxa"/>
            <w:vAlign w:val="center"/>
          </w:tcPr>
          <w:p w14:paraId="407B49A3" w14:textId="50773857" w:rsidR="001A0AC7" w:rsidRPr="009C427D" w:rsidRDefault="001A0AC7" w:rsidP="00385846">
            <w:pPr>
              <w:jc w:val="center"/>
              <w:cnfStyle w:val="000000000000" w:firstRow="0" w:lastRow="0" w:firstColumn="0" w:lastColumn="0" w:oddVBand="0" w:evenVBand="0" w:oddHBand="0" w:evenHBand="0" w:firstRowFirstColumn="0" w:firstRowLastColumn="0" w:lastRowFirstColumn="0" w:lastRowLastColumn="0"/>
              <w:rPr>
                <w:color w:val="222222"/>
                <w:sz w:val="18"/>
                <w:szCs w:val="18"/>
              </w:rPr>
            </w:pPr>
            <w:r>
              <w:rPr>
                <w:color w:val="222222"/>
                <w:sz w:val="18"/>
                <w:szCs w:val="18"/>
              </w:rPr>
              <w:t>15 de julio de 2014</w:t>
            </w:r>
          </w:p>
        </w:tc>
        <w:tc>
          <w:tcPr>
            <w:tcW w:w="8080" w:type="dxa"/>
            <w:vAlign w:val="center"/>
          </w:tcPr>
          <w:p w14:paraId="54C4D7E4" w14:textId="456C946A" w:rsidR="001A0AC7" w:rsidRPr="001A0AC7" w:rsidRDefault="001A0AC7" w:rsidP="00633077">
            <w:pPr>
              <w:cnfStyle w:val="000000000000" w:firstRow="0" w:lastRow="0" w:firstColumn="0" w:lastColumn="0" w:oddVBand="0" w:evenVBand="0" w:oddHBand="0" w:evenHBand="0" w:firstRowFirstColumn="0" w:firstRowLastColumn="0" w:lastRowFirstColumn="0" w:lastRowLastColumn="0"/>
              <w:rPr>
                <w:color w:val="222222"/>
                <w:sz w:val="18"/>
                <w:szCs w:val="18"/>
              </w:rPr>
            </w:pPr>
            <w:r w:rsidRPr="001A0AC7">
              <w:rPr>
                <w:color w:val="222222"/>
                <w:sz w:val="18"/>
                <w:szCs w:val="18"/>
              </w:rPr>
              <w:t xml:space="preserve">Modifica la Resolución Superior </w:t>
            </w:r>
            <w:r w:rsidR="00633077">
              <w:rPr>
                <w:color w:val="222222"/>
                <w:sz w:val="18"/>
                <w:szCs w:val="18"/>
              </w:rPr>
              <w:t xml:space="preserve">1915 </w:t>
            </w:r>
            <w:r w:rsidRPr="001A0AC7">
              <w:rPr>
                <w:color w:val="222222"/>
                <w:sz w:val="18"/>
                <w:szCs w:val="18"/>
              </w:rPr>
              <w:t>autorizando hasta $9.2</w:t>
            </w:r>
            <w:r w:rsidR="00633077">
              <w:rPr>
                <w:color w:val="222222"/>
                <w:sz w:val="18"/>
                <w:szCs w:val="18"/>
              </w:rPr>
              <w:t>00.000.000</w:t>
            </w:r>
            <w:r w:rsidRPr="001A0AC7">
              <w:rPr>
                <w:color w:val="222222"/>
                <w:sz w:val="18"/>
                <w:szCs w:val="18"/>
              </w:rPr>
              <w:t xml:space="preserve"> millones.</w:t>
            </w:r>
          </w:p>
        </w:tc>
      </w:tr>
      <w:tr w:rsidR="00571BEB" w:rsidRPr="002F4A7A" w14:paraId="4E428567" w14:textId="77777777" w:rsidTr="007D5394">
        <w:trPr>
          <w:cnfStyle w:val="000000100000" w:firstRow="0" w:lastRow="0" w:firstColumn="0" w:lastColumn="0" w:oddVBand="0" w:evenVBand="0" w:oddHBand="1" w:evenHBand="0" w:firstRowFirstColumn="0" w:firstRowLastColumn="0" w:lastRowFirstColumn="0" w:lastRowLastColumn="0"/>
          <w:trHeight w:val="1231"/>
          <w:jc w:val="center"/>
        </w:trPr>
        <w:tc>
          <w:tcPr>
            <w:cnfStyle w:val="001000000000" w:firstRow="0" w:lastRow="0" w:firstColumn="1" w:lastColumn="0" w:oddVBand="0" w:evenVBand="0" w:oddHBand="0" w:evenHBand="0" w:firstRowFirstColumn="0" w:firstRowLastColumn="0" w:lastRowFirstColumn="0" w:lastRowLastColumn="0"/>
            <w:tcW w:w="1047" w:type="dxa"/>
            <w:vAlign w:val="center"/>
          </w:tcPr>
          <w:p w14:paraId="4BA3A2D5" w14:textId="77777777" w:rsidR="00571BEB" w:rsidRPr="002F4A7A" w:rsidRDefault="00571BEB" w:rsidP="00385846">
            <w:pPr>
              <w:jc w:val="center"/>
              <w:rPr>
                <w:color w:val="222222"/>
                <w:sz w:val="18"/>
                <w:szCs w:val="18"/>
              </w:rPr>
            </w:pPr>
            <w:r w:rsidRPr="002F4A7A">
              <w:rPr>
                <w:color w:val="222222"/>
                <w:sz w:val="18"/>
                <w:szCs w:val="18"/>
              </w:rPr>
              <w:t>2081</w:t>
            </w:r>
          </w:p>
        </w:tc>
        <w:tc>
          <w:tcPr>
            <w:tcW w:w="1363" w:type="dxa"/>
            <w:vAlign w:val="center"/>
          </w:tcPr>
          <w:p w14:paraId="5FAA8FC8" w14:textId="77777777" w:rsidR="00571BEB" w:rsidRPr="002F4A7A" w:rsidRDefault="00571BEB" w:rsidP="00385846">
            <w:pPr>
              <w:ind w:left="29"/>
              <w:jc w:val="center"/>
              <w:cnfStyle w:val="000000100000" w:firstRow="0" w:lastRow="0" w:firstColumn="0" w:lastColumn="0" w:oddVBand="0" w:evenVBand="0" w:oddHBand="1" w:evenHBand="0" w:firstRowFirstColumn="0" w:firstRowLastColumn="0" w:lastRowFirstColumn="0" w:lastRowLastColumn="0"/>
              <w:rPr>
                <w:color w:val="222222"/>
                <w:sz w:val="18"/>
                <w:szCs w:val="18"/>
              </w:rPr>
            </w:pPr>
            <w:r w:rsidRPr="002F4A7A">
              <w:rPr>
                <w:color w:val="222222"/>
                <w:sz w:val="18"/>
                <w:szCs w:val="18"/>
              </w:rPr>
              <w:t>23 de febrero de 2016</w:t>
            </w:r>
          </w:p>
        </w:tc>
        <w:tc>
          <w:tcPr>
            <w:tcW w:w="8080" w:type="dxa"/>
            <w:vAlign w:val="center"/>
          </w:tcPr>
          <w:p w14:paraId="2D5AD3A8" w14:textId="77777777" w:rsidR="00571BEB" w:rsidRPr="002F4A7A" w:rsidRDefault="00571BEB" w:rsidP="00385846">
            <w:pPr>
              <w:cnfStyle w:val="000000100000" w:firstRow="0" w:lastRow="0" w:firstColumn="0" w:lastColumn="0" w:oddVBand="0" w:evenVBand="0" w:oddHBand="1" w:evenHBand="0" w:firstRowFirstColumn="0" w:firstRowLastColumn="0" w:lastRowFirstColumn="0" w:lastRowLastColumn="0"/>
              <w:rPr>
                <w:color w:val="222222"/>
                <w:sz w:val="18"/>
                <w:szCs w:val="18"/>
              </w:rPr>
            </w:pPr>
            <w:r w:rsidRPr="002F4A7A">
              <w:rPr>
                <w:color w:val="222222"/>
                <w:sz w:val="18"/>
                <w:szCs w:val="18"/>
              </w:rPr>
              <w:t>Avala el Plan de Inversiones de los recursos previstos en la Ley 1697 de 2013 o Estampilla Pro-Universidad Nacional de Colombia y demás universidades estatales de Colombia.</w:t>
            </w:r>
          </w:p>
          <w:p w14:paraId="1076B25F" w14:textId="77777777" w:rsidR="00571BEB" w:rsidRPr="002F4A7A" w:rsidRDefault="00571BEB" w:rsidP="00385846">
            <w:pPr>
              <w:cnfStyle w:val="000000100000" w:firstRow="0" w:lastRow="0" w:firstColumn="0" w:lastColumn="0" w:oddVBand="0" w:evenVBand="0" w:oddHBand="1" w:evenHBand="0" w:firstRowFirstColumn="0" w:firstRowLastColumn="0" w:lastRowFirstColumn="0" w:lastRowLastColumn="0"/>
              <w:rPr>
                <w:color w:val="222222"/>
                <w:sz w:val="18"/>
                <w:szCs w:val="18"/>
              </w:rPr>
            </w:pPr>
          </w:p>
          <w:p w14:paraId="34A58DED" w14:textId="77777777" w:rsidR="00571BEB" w:rsidRPr="002F4A7A" w:rsidRDefault="00571BEB" w:rsidP="00385846">
            <w:pPr>
              <w:cnfStyle w:val="000000100000" w:firstRow="0" w:lastRow="0" w:firstColumn="0" w:lastColumn="0" w:oddVBand="0" w:evenVBand="0" w:oddHBand="1" w:evenHBand="0" w:firstRowFirstColumn="0" w:firstRowLastColumn="0" w:lastRowFirstColumn="0" w:lastRowLastColumn="0"/>
              <w:rPr>
                <w:color w:val="222222"/>
                <w:sz w:val="18"/>
                <w:szCs w:val="18"/>
              </w:rPr>
            </w:pPr>
            <w:r w:rsidRPr="002F4A7A">
              <w:rPr>
                <w:color w:val="222222"/>
                <w:sz w:val="18"/>
                <w:szCs w:val="18"/>
              </w:rPr>
              <w:t xml:space="preserve">Destina $1.046.318.624 a la construcción y dotación de la </w:t>
            </w:r>
            <w:r w:rsidRPr="002F4A7A">
              <w:rPr>
                <w:b/>
                <w:color w:val="222222"/>
                <w:sz w:val="18"/>
                <w:szCs w:val="18"/>
              </w:rPr>
              <w:t xml:space="preserve">nueva sede de la </w:t>
            </w:r>
            <w:r w:rsidRPr="00C9044B">
              <w:rPr>
                <w:b/>
                <w:sz w:val="18"/>
                <w:szCs w:val="18"/>
              </w:rPr>
              <w:t>Facultad de Salud Pública</w:t>
            </w:r>
            <w:r w:rsidRPr="002F4A7A">
              <w:rPr>
                <w:color w:val="222222"/>
                <w:sz w:val="18"/>
                <w:szCs w:val="18"/>
              </w:rPr>
              <w:t>, incluyendo los estudios previos de diseño, suelos, estructurales y demás.</w:t>
            </w:r>
          </w:p>
        </w:tc>
      </w:tr>
      <w:tr w:rsidR="00571BEB" w:rsidRPr="002F4A7A" w14:paraId="270DD369" w14:textId="77777777" w:rsidTr="003B3149">
        <w:trPr>
          <w:trHeight w:val="1979"/>
          <w:jc w:val="center"/>
        </w:trPr>
        <w:tc>
          <w:tcPr>
            <w:cnfStyle w:val="001000000000" w:firstRow="0" w:lastRow="0" w:firstColumn="1" w:lastColumn="0" w:oddVBand="0" w:evenVBand="0" w:oddHBand="0" w:evenHBand="0" w:firstRowFirstColumn="0" w:firstRowLastColumn="0" w:lastRowFirstColumn="0" w:lastRowLastColumn="0"/>
            <w:tcW w:w="1047" w:type="dxa"/>
            <w:vAlign w:val="center"/>
          </w:tcPr>
          <w:p w14:paraId="6904A51F" w14:textId="77777777" w:rsidR="00571BEB" w:rsidRPr="002F4A7A" w:rsidRDefault="00571BEB" w:rsidP="00385846">
            <w:pPr>
              <w:jc w:val="center"/>
              <w:rPr>
                <w:color w:val="222222"/>
                <w:sz w:val="18"/>
                <w:szCs w:val="18"/>
              </w:rPr>
            </w:pPr>
            <w:r w:rsidRPr="002F4A7A">
              <w:rPr>
                <w:color w:val="222222"/>
                <w:sz w:val="18"/>
                <w:szCs w:val="18"/>
              </w:rPr>
              <w:t>2171</w:t>
            </w:r>
          </w:p>
        </w:tc>
        <w:tc>
          <w:tcPr>
            <w:tcW w:w="1363" w:type="dxa"/>
            <w:vAlign w:val="center"/>
          </w:tcPr>
          <w:p w14:paraId="723F74E5" w14:textId="77777777" w:rsidR="00571BEB" w:rsidRPr="002F4A7A" w:rsidRDefault="00571BEB" w:rsidP="00385846">
            <w:pPr>
              <w:ind w:left="29"/>
              <w:jc w:val="center"/>
              <w:cnfStyle w:val="000000000000" w:firstRow="0" w:lastRow="0" w:firstColumn="0" w:lastColumn="0" w:oddVBand="0" w:evenVBand="0" w:oddHBand="0" w:evenHBand="0" w:firstRowFirstColumn="0" w:firstRowLastColumn="0" w:lastRowFirstColumn="0" w:lastRowLastColumn="0"/>
              <w:rPr>
                <w:color w:val="222222"/>
                <w:sz w:val="18"/>
                <w:szCs w:val="18"/>
              </w:rPr>
            </w:pPr>
            <w:r w:rsidRPr="002F4A7A">
              <w:rPr>
                <w:color w:val="222222"/>
                <w:sz w:val="18"/>
                <w:szCs w:val="18"/>
              </w:rPr>
              <w:t>25 de abril de 2017</w:t>
            </w:r>
          </w:p>
        </w:tc>
        <w:tc>
          <w:tcPr>
            <w:tcW w:w="8080" w:type="dxa"/>
            <w:vAlign w:val="center"/>
          </w:tcPr>
          <w:p w14:paraId="07745ED8" w14:textId="77777777" w:rsidR="00571BEB" w:rsidRPr="002F4A7A" w:rsidRDefault="00571BEB" w:rsidP="00385846">
            <w:pPr>
              <w:cnfStyle w:val="000000000000" w:firstRow="0" w:lastRow="0" w:firstColumn="0" w:lastColumn="0" w:oddVBand="0" w:evenVBand="0" w:oddHBand="0" w:evenHBand="0" w:firstRowFirstColumn="0" w:firstRowLastColumn="0" w:lastRowFirstColumn="0" w:lastRowLastColumn="0"/>
              <w:rPr>
                <w:color w:val="222222"/>
                <w:sz w:val="18"/>
                <w:szCs w:val="18"/>
              </w:rPr>
            </w:pPr>
            <w:r w:rsidRPr="002F4A7A">
              <w:rPr>
                <w:color w:val="222222"/>
                <w:sz w:val="18"/>
                <w:szCs w:val="18"/>
              </w:rPr>
              <w:t>Define el plan de inversiones de los recursos previstos en la Ley 1697 de 2013 o “Estampilla Pro-Universidad Nacional de Colombia y demás universidades estatales de Colombia”.</w:t>
            </w:r>
          </w:p>
          <w:p w14:paraId="16673C71" w14:textId="77777777" w:rsidR="00571BEB" w:rsidRPr="002F4A7A" w:rsidRDefault="00571BEB" w:rsidP="00385846">
            <w:pPr>
              <w:cnfStyle w:val="000000000000" w:firstRow="0" w:lastRow="0" w:firstColumn="0" w:lastColumn="0" w:oddVBand="0" w:evenVBand="0" w:oddHBand="0" w:evenHBand="0" w:firstRowFirstColumn="0" w:firstRowLastColumn="0" w:lastRowFirstColumn="0" w:lastRowLastColumn="0"/>
              <w:rPr>
                <w:color w:val="222222"/>
                <w:sz w:val="18"/>
                <w:szCs w:val="18"/>
              </w:rPr>
            </w:pPr>
          </w:p>
          <w:p w14:paraId="118688D4" w14:textId="77777777" w:rsidR="00571BEB" w:rsidRPr="002F4A7A" w:rsidRDefault="00571BEB" w:rsidP="00385846">
            <w:pPr>
              <w:cnfStyle w:val="000000000000" w:firstRow="0" w:lastRow="0" w:firstColumn="0" w:lastColumn="0" w:oddVBand="0" w:evenVBand="0" w:oddHBand="0" w:evenHBand="0" w:firstRowFirstColumn="0" w:firstRowLastColumn="0" w:lastRowFirstColumn="0" w:lastRowLastColumn="0"/>
              <w:rPr>
                <w:color w:val="222222"/>
                <w:sz w:val="18"/>
                <w:szCs w:val="18"/>
              </w:rPr>
            </w:pPr>
            <w:r w:rsidRPr="002F4A7A">
              <w:rPr>
                <w:color w:val="222222"/>
                <w:sz w:val="18"/>
                <w:szCs w:val="18"/>
              </w:rPr>
              <w:t>En el numeral 4, destina $993.595.927 asignados en 2016 por esta Ley para continuar con la financiación para la construcción y dotación de la</w:t>
            </w:r>
            <w:r w:rsidRPr="002F4A7A">
              <w:rPr>
                <w:b/>
                <w:color w:val="222222"/>
                <w:sz w:val="18"/>
                <w:szCs w:val="18"/>
              </w:rPr>
              <w:t xml:space="preserve"> nueva sede de la </w:t>
            </w:r>
            <w:r w:rsidRPr="00C9044B">
              <w:rPr>
                <w:b/>
                <w:sz w:val="18"/>
                <w:szCs w:val="18"/>
              </w:rPr>
              <w:t>Facultad de Salud Pública</w:t>
            </w:r>
            <w:r w:rsidRPr="002F4A7A">
              <w:rPr>
                <w:color w:val="222222"/>
                <w:sz w:val="18"/>
                <w:szCs w:val="18"/>
              </w:rPr>
              <w:t>, incluyendo los estudios previos de diseño, suelos, estructurales y demás.</w:t>
            </w:r>
          </w:p>
          <w:p w14:paraId="713BF552" w14:textId="77777777" w:rsidR="00571BEB" w:rsidRPr="002F4A7A" w:rsidRDefault="00571BEB" w:rsidP="00385846">
            <w:pPr>
              <w:cnfStyle w:val="000000000000" w:firstRow="0" w:lastRow="0" w:firstColumn="0" w:lastColumn="0" w:oddVBand="0" w:evenVBand="0" w:oddHBand="0" w:evenHBand="0" w:firstRowFirstColumn="0" w:firstRowLastColumn="0" w:lastRowFirstColumn="0" w:lastRowLastColumn="0"/>
              <w:rPr>
                <w:color w:val="222222"/>
                <w:sz w:val="18"/>
                <w:szCs w:val="18"/>
              </w:rPr>
            </w:pPr>
          </w:p>
          <w:p w14:paraId="243F2F7F" w14:textId="77777777" w:rsidR="00571BEB" w:rsidRPr="002F4A7A" w:rsidRDefault="00571BEB" w:rsidP="00385846">
            <w:pPr>
              <w:cnfStyle w:val="000000000000" w:firstRow="0" w:lastRow="0" w:firstColumn="0" w:lastColumn="0" w:oddVBand="0" w:evenVBand="0" w:oddHBand="0" w:evenHBand="0" w:firstRowFirstColumn="0" w:firstRowLastColumn="0" w:lastRowFirstColumn="0" w:lastRowLastColumn="0"/>
              <w:rPr>
                <w:color w:val="222222"/>
                <w:sz w:val="18"/>
                <w:szCs w:val="18"/>
              </w:rPr>
            </w:pPr>
            <w:r w:rsidRPr="002F4A7A">
              <w:rPr>
                <w:color w:val="222222"/>
                <w:sz w:val="18"/>
                <w:szCs w:val="18"/>
              </w:rPr>
              <w:t xml:space="preserve">En el numeral 5, el Consejo Superior destina los recursos para el proyecto de construcción, equipamiento y dotación de la sede de la </w:t>
            </w:r>
            <w:r w:rsidRPr="002F4A7A">
              <w:rPr>
                <w:b/>
                <w:color w:val="222222"/>
                <w:sz w:val="18"/>
                <w:szCs w:val="18"/>
              </w:rPr>
              <w:t>Facultad de Salud Pública</w:t>
            </w:r>
            <w:r w:rsidRPr="002F4A7A">
              <w:rPr>
                <w:color w:val="222222"/>
                <w:sz w:val="18"/>
                <w:szCs w:val="18"/>
              </w:rPr>
              <w:t>.</w:t>
            </w:r>
          </w:p>
        </w:tc>
      </w:tr>
      <w:tr w:rsidR="00571BEB" w:rsidRPr="002F4A7A" w14:paraId="0E26425E" w14:textId="77777777" w:rsidTr="003B3149">
        <w:trPr>
          <w:cnfStyle w:val="000000100000" w:firstRow="0" w:lastRow="0" w:firstColumn="0" w:lastColumn="0" w:oddVBand="0" w:evenVBand="0" w:oddHBand="1" w:evenHBand="0" w:firstRowFirstColumn="0" w:firstRowLastColumn="0" w:lastRowFirstColumn="0" w:lastRowLastColumn="0"/>
          <w:trHeight w:val="1980"/>
          <w:jc w:val="center"/>
        </w:trPr>
        <w:tc>
          <w:tcPr>
            <w:cnfStyle w:val="001000000000" w:firstRow="0" w:lastRow="0" w:firstColumn="1" w:lastColumn="0" w:oddVBand="0" w:evenVBand="0" w:oddHBand="0" w:evenHBand="0" w:firstRowFirstColumn="0" w:firstRowLastColumn="0" w:lastRowFirstColumn="0" w:lastRowLastColumn="0"/>
            <w:tcW w:w="1047" w:type="dxa"/>
            <w:vAlign w:val="center"/>
          </w:tcPr>
          <w:p w14:paraId="5874266E" w14:textId="77777777" w:rsidR="00571BEB" w:rsidRPr="002F4A7A" w:rsidRDefault="00571BEB" w:rsidP="00385846">
            <w:pPr>
              <w:jc w:val="center"/>
              <w:rPr>
                <w:color w:val="222222"/>
                <w:sz w:val="18"/>
                <w:szCs w:val="18"/>
              </w:rPr>
            </w:pPr>
            <w:r w:rsidRPr="002F4A7A">
              <w:rPr>
                <w:color w:val="222222"/>
                <w:sz w:val="18"/>
                <w:szCs w:val="18"/>
              </w:rPr>
              <w:t>2185</w:t>
            </w:r>
          </w:p>
        </w:tc>
        <w:tc>
          <w:tcPr>
            <w:tcW w:w="1363" w:type="dxa"/>
            <w:vAlign w:val="center"/>
          </w:tcPr>
          <w:p w14:paraId="7AF32824" w14:textId="77777777" w:rsidR="00571BEB" w:rsidRPr="002F4A7A" w:rsidRDefault="00571BEB" w:rsidP="00385846">
            <w:pPr>
              <w:ind w:left="29"/>
              <w:jc w:val="center"/>
              <w:cnfStyle w:val="000000100000" w:firstRow="0" w:lastRow="0" w:firstColumn="0" w:lastColumn="0" w:oddVBand="0" w:evenVBand="0" w:oddHBand="1" w:evenHBand="0" w:firstRowFirstColumn="0" w:firstRowLastColumn="0" w:lastRowFirstColumn="0" w:lastRowLastColumn="0"/>
              <w:rPr>
                <w:color w:val="222222"/>
                <w:sz w:val="18"/>
                <w:szCs w:val="18"/>
              </w:rPr>
            </w:pPr>
            <w:r w:rsidRPr="002F4A7A">
              <w:rPr>
                <w:color w:val="222222"/>
                <w:sz w:val="18"/>
                <w:szCs w:val="18"/>
              </w:rPr>
              <w:t>25 de julio de 2017</w:t>
            </w:r>
          </w:p>
        </w:tc>
        <w:tc>
          <w:tcPr>
            <w:tcW w:w="8080" w:type="dxa"/>
            <w:vAlign w:val="center"/>
          </w:tcPr>
          <w:p w14:paraId="1310FF7E" w14:textId="77777777" w:rsidR="00571BEB" w:rsidRPr="002F4A7A" w:rsidRDefault="00571BEB" w:rsidP="00385846">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2F4A7A">
              <w:rPr>
                <w:rFonts w:ascii="Times New Roman" w:eastAsia="Times New Roman" w:hAnsi="Times New Roman" w:cs="Times New Roman"/>
                <w:color w:val="222222"/>
                <w:sz w:val="18"/>
                <w:szCs w:val="18"/>
                <w:lang w:eastAsia="es-CO"/>
              </w:rPr>
              <w:t xml:space="preserve">Autorizar al Vicerrector Administrativo para la celebración de un contrato de mandato con representación con la Corporación Interuniversitaria de Servicios -CIS-, por valor de seis mil novecientos veinte millones de pesos($6.920.000.000), dentro del cual se incluye el valor de la administración ofertada, estimado en doscientos sesenta y tres millones novecientos setenta y cinco mil ciento noventa y cinco pesos ($263'975.195), valor exento de IVA; por una duración de nueve (9) meses, cuyo objeto es el: "Contrato de mandato con representación para la administración de los recursos tendientes a la adquisición de los estudios y diseños arquitectónicos, urbanísticos y técnicos del denominado </w:t>
            </w:r>
            <w:r w:rsidRPr="00DE7C3B">
              <w:rPr>
                <w:rFonts w:ascii="Times New Roman" w:eastAsia="Times New Roman" w:hAnsi="Times New Roman" w:cs="Times New Roman"/>
                <w:b/>
                <w:color w:val="222222"/>
                <w:sz w:val="18"/>
                <w:szCs w:val="18"/>
                <w:lang w:eastAsia="es-CO"/>
              </w:rPr>
              <w:t>Complejo de la Salud.</w:t>
            </w:r>
            <w:r w:rsidRPr="002F4A7A">
              <w:rPr>
                <w:rFonts w:ascii="Times New Roman" w:eastAsia="Times New Roman" w:hAnsi="Times New Roman" w:cs="Times New Roman"/>
                <w:color w:val="222222"/>
                <w:sz w:val="18"/>
                <w:szCs w:val="18"/>
                <w:lang w:eastAsia="es-CO"/>
              </w:rPr>
              <w:t xml:space="preserve"> Dicho contrato debe incluir todas las operaciones administrativas, financieras, contractuales y operativas, para la inversión de los recursos destinados a la consecución de los estudios y diseños mencionados.</w:t>
            </w:r>
          </w:p>
        </w:tc>
      </w:tr>
      <w:tr w:rsidR="00571BEB" w:rsidRPr="002F4A7A" w14:paraId="34FB8DC3" w14:textId="77777777" w:rsidTr="003B3149">
        <w:trPr>
          <w:trHeight w:val="1682"/>
          <w:jc w:val="center"/>
        </w:trPr>
        <w:tc>
          <w:tcPr>
            <w:cnfStyle w:val="001000000000" w:firstRow="0" w:lastRow="0" w:firstColumn="1" w:lastColumn="0" w:oddVBand="0" w:evenVBand="0" w:oddHBand="0" w:evenHBand="0" w:firstRowFirstColumn="0" w:firstRowLastColumn="0" w:lastRowFirstColumn="0" w:lastRowLastColumn="0"/>
            <w:tcW w:w="1047" w:type="dxa"/>
            <w:vAlign w:val="center"/>
          </w:tcPr>
          <w:p w14:paraId="6CCCCF76" w14:textId="77777777" w:rsidR="00571BEB" w:rsidRPr="002F4A7A" w:rsidRDefault="00571BEB" w:rsidP="00385846">
            <w:pPr>
              <w:jc w:val="center"/>
              <w:rPr>
                <w:color w:val="222222"/>
                <w:sz w:val="18"/>
                <w:szCs w:val="18"/>
              </w:rPr>
            </w:pPr>
            <w:r w:rsidRPr="002F4A7A">
              <w:rPr>
                <w:color w:val="222222"/>
                <w:sz w:val="18"/>
                <w:szCs w:val="18"/>
              </w:rPr>
              <w:t>2191</w:t>
            </w:r>
          </w:p>
        </w:tc>
        <w:tc>
          <w:tcPr>
            <w:tcW w:w="1363" w:type="dxa"/>
            <w:vAlign w:val="center"/>
          </w:tcPr>
          <w:p w14:paraId="083FCE5E" w14:textId="77777777" w:rsidR="00571BEB" w:rsidRPr="002F4A7A" w:rsidRDefault="00571BEB" w:rsidP="00385846">
            <w:pPr>
              <w:ind w:left="29"/>
              <w:jc w:val="center"/>
              <w:cnfStyle w:val="000000000000" w:firstRow="0" w:lastRow="0" w:firstColumn="0" w:lastColumn="0" w:oddVBand="0" w:evenVBand="0" w:oddHBand="0" w:evenHBand="0" w:firstRowFirstColumn="0" w:firstRowLastColumn="0" w:lastRowFirstColumn="0" w:lastRowLastColumn="0"/>
              <w:rPr>
                <w:color w:val="222222"/>
                <w:sz w:val="18"/>
                <w:szCs w:val="18"/>
              </w:rPr>
            </w:pPr>
            <w:r w:rsidRPr="002F4A7A">
              <w:rPr>
                <w:color w:val="222222"/>
                <w:sz w:val="18"/>
                <w:szCs w:val="18"/>
              </w:rPr>
              <w:t>25 de julio de 2017</w:t>
            </w:r>
          </w:p>
        </w:tc>
        <w:tc>
          <w:tcPr>
            <w:tcW w:w="8080" w:type="dxa"/>
            <w:vAlign w:val="center"/>
          </w:tcPr>
          <w:p w14:paraId="12DCA03A" w14:textId="77777777" w:rsidR="00571BEB" w:rsidRPr="002F4A7A" w:rsidRDefault="00571BEB" w:rsidP="00385846">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F4A7A">
              <w:rPr>
                <w:rFonts w:ascii="Times New Roman" w:eastAsia="Times New Roman" w:hAnsi="Times New Roman" w:cs="Times New Roman"/>
                <w:color w:val="222222"/>
                <w:sz w:val="18"/>
                <w:szCs w:val="18"/>
                <w:lang w:eastAsia="es-CO"/>
              </w:rPr>
              <w:t xml:space="preserve">Ordena que la devolución del IVA que, efectivamente, obtenga la Universidad por el pago de los bienes, insumos y servicios que adquiera, durante su proceso de preparación, construcción y dotación de los edificios del Complejo de la Salud se incluyan y registren como parte de los recursos financieros que la institución invertirá en el desarrollo del mismo proyecto. Por dotación del </w:t>
            </w:r>
            <w:r w:rsidRPr="00DE7C3B">
              <w:rPr>
                <w:rFonts w:ascii="Times New Roman" w:eastAsia="Times New Roman" w:hAnsi="Times New Roman" w:cs="Times New Roman"/>
                <w:b/>
                <w:color w:val="222222"/>
                <w:sz w:val="18"/>
                <w:szCs w:val="18"/>
                <w:lang w:eastAsia="es-CO"/>
              </w:rPr>
              <w:t>Complejo de la Salud</w:t>
            </w:r>
            <w:r w:rsidRPr="002F4A7A">
              <w:rPr>
                <w:rFonts w:ascii="Times New Roman" w:eastAsia="Times New Roman" w:hAnsi="Times New Roman" w:cs="Times New Roman"/>
                <w:color w:val="222222"/>
                <w:sz w:val="18"/>
                <w:szCs w:val="18"/>
                <w:lang w:eastAsia="es-CO"/>
              </w:rPr>
              <w:t xml:space="preserve"> se entiende la compra de los elementos requeridos para el funcionamiento general de las edificaciones, como ascensores, silletería de auditorios, entre otros. No incluye escritorios, equipos de oficina y, en general, artículos personales. En caso de duda, interpretará el Rector.</w:t>
            </w:r>
          </w:p>
        </w:tc>
      </w:tr>
      <w:tr w:rsidR="00571BEB" w:rsidRPr="002F4A7A" w14:paraId="3AC75362" w14:textId="77777777" w:rsidTr="007D5394">
        <w:trPr>
          <w:cnfStyle w:val="000000100000" w:firstRow="0" w:lastRow="0" w:firstColumn="0" w:lastColumn="0" w:oddVBand="0" w:evenVBand="0" w:oddHBand="1" w:evenHBand="0" w:firstRowFirstColumn="0" w:firstRowLastColumn="0" w:lastRowFirstColumn="0" w:lastRowLastColumn="0"/>
          <w:trHeight w:val="706"/>
          <w:jc w:val="center"/>
        </w:trPr>
        <w:tc>
          <w:tcPr>
            <w:cnfStyle w:val="001000000000" w:firstRow="0" w:lastRow="0" w:firstColumn="1" w:lastColumn="0" w:oddVBand="0" w:evenVBand="0" w:oddHBand="0" w:evenHBand="0" w:firstRowFirstColumn="0" w:firstRowLastColumn="0" w:lastRowFirstColumn="0" w:lastRowLastColumn="0"/>
            <w:tcW w:w="1047" w:type="dxa"/>
            <w:vAlign w:val="center"/>
          </w:tcPr>
          <w:p w14:paraId="317A50A0" w14:textId="77777777" w:rsidR="00571BEB" w:rsidRPr="002F4A7A" w:rsidRDefault="00571BEB" w:rsidP="00385846">
            <w:pPr>
              <w:jc w:val="center"/>
              <w:rPr>
                <w:sz w:val="18"/>
                <w:szCs w:val="18"/>
              </w:rPr>
            </w:pPr>
            <w:r w:rsidRPr="002F4A7A">
              <w:rPr>
                <w:color w:val="222222"/>
                <w:sz w:val="18"/>
                <w:szCs w:val="18"/>
              </w:rPr>
              <w:t>2237</w:t>
            </w:r>
          </w:p>
        </w:tc>
        <w:tc>
          <w:tcPr>
            <w:tcW w:w="1363" w:type="dxa"/>
            <w:vAlign w:val="center"/>
          </w:tcPr>
          <w:p w14:paraId="3C73DB59" w14:textId="77777777" w:rsidR="00571BEB" w:rsidRPr="002F4A7A" w:rsidRDefault="00571BEB" w:rsidP="00385846">
            <w:pPr>
              <w:ind w:left="29"/>
              <w:jc w:val="center"/>
              <w:cnfStyle w:val="000000100000" w:firstRow="0" w:lastRow="0" w:firstColumn="0" w:lastColumn="0" w:oddVBand="0" w:evenVBand="0" w:oddHBand="1" w:evenHBand="0" w:firstRowFirstColumn="0" w:firstRowLastColumn="0" w:lastRowFirstColumn="0" w:lastRowLastColumn="0"/>
              <w:rPr>
                <w:sz w:val="18"/>
                <w:szCs w:val="18"/>
              </w:rPr>
            </w:pPr>
            <w:r w:rsidRPr="002F4A7A">
              <w:rPr>
                <w:color w:val="222222"/>
                <w:sz w:val="18"/>
                <w:szCs w:val="18"/>
              </w:rPr>
              <w:t>30 de enero de 2018</w:t>
            </w:r>
          </w:p>
        </w:tc>
        <w:tc>
          <w:tcPr>
            <w:tcW w:w="8080" w:type="dxa"/>
            <w:vAlign w:val="center"/>
          </w:tcPr>
          <w:p w14:paraId="43B2BB46" w14:textId="77777777" w:rsidR="00571BEB" w:rsidRPr="002F4A7A" w:rsidRDefault="00571BEB" w:rsidP="00385846">
            <w:pPr>
              <w:cnfStyle w:val="000000100000" w:firstRow="0" w:lastRow="0" w:firstColumn="0" w:lastColumn="0" w:oddVBand="0" w:evenVBand="0" w:oddHBand="1" w:evenHBand="0" w:firstRowFirstColumn="0" w:firstRowLastColumn="0" w:lastRowFirstColumn="0" w:lastRowLastColumn="0"/>
              <w:rPr>
                <w:color w:val="222222"/>
                <w:sz w:val="18"/>
                <w:szCs w:val="18"/>
              </w:rPr>
            </w:pPr>
            <w:r w:rsidRPr="002F4A7A">
              <w:rPr>
                <w:color w:val="222222"/>
                <w:sz w:val="18"/>
                <w:szCs w:val="18"/>
              </w:rPr>
              <w:t xml:space="preserve">Autoriza al Rector para adelantar las gestiones necesarias para viabilizar la celebración de un contrato de empréstito con destino a financiar el proyecto de inversión </w:t>
            </w:r>
            <w:r w:rsidRPr="00DE7C3B">
              <w:rPr>
                <w:b/>
                <w:color w:val="222222"/>
                <w:sz w:val="18"/>
                <w:szCs w:val="18"/>
              </w:rPr>
              <w:t>Complejo de la Salud</w:t>
            </w:r>
            <w:r w:rsidRPr="002F4A7A">
              <w:rPr>
                <w:color w:val="222222"/>
                <w:sz w:val="18"/>
                <w:szCs w:val="18"/>
              </w:rPr>
              <w:t>.</w:t>
            </w:r>
          </w:p>
        </w:tc>
      </w:tr>
    </w:tbl>
    <w:p w14:paraId="0BD6A01C" w14:textId="77777777" w:rsidR="00571BEB" w:rsidRPr="002F4A7A" w:rsidRDefault="00571BEB" w:rsidP="00571BEB">
      <w:pPr>
        <w:ind w:left="426"/>
      </w:pPr>
    </w:p>
    <w:p w14:paraId="1B8F6BF3" w14:textId="77777777" w:rsidR="007D5394" w:rsidRDefault="007D5394">
      <w:pPr>
        <w:spacing w:after="160" w:line="259" w:lineRule="auto"/>
        <w:rPr>
          <w:b/>
          <w:color w:val="385623" w:themeColor="accent6" w:themeShade="80"/>
          <w:sz w:val="22"/>
        </w:rPr>
      </w:pPr>
      <w:bookmarkStart w:id="25" w:name="_Toc512332497"/>
      <w:r>
        <w:rPr>
          <w:b/>
          <w:color w:val="385623" w:themeColor="accent6" w:themeShade="80"/>
          <w:sz w:val="22"/>
        </w:rPr>
        <w:br w:type="page"/>
      </w:r>
    </w:p>
    <w:p w14:paraId="43C90CEA" w14:textId="6385B576" w:rsidR="00571BEB" w:rsidRPr="002F4A7A" w:rsidRDefault="00571BEB" w:rsidP="00C9044B">
      <w:pPr>
        <w:jc w:val="center"/>
        <w:rPr>
          <w:b/>
          <w:color w:val="385623" w:themeColor="accent6" w:themeShade="80"/>
          <w:sz w:val="22"/>
        </w:rPr>
      </w:pPr>
      <w:r w:rsidRPr="002F4A7A">
        <w:rPr>
          <w:b/>
          <w:color w:val="385623" w:themeColor="accent6" w:themeShade="80"/>
          <w:sz w:val="22"/>
        </w:rPr>
        <w:lastRenderedPageBreak/>
        <w:t>Resoluciones Rectorales</w:t>
      </w:r>
      <w:bookmarkEnd w:id="25"/>
    </w:p>
    <w:p w14:paraId="1301566F" w14:textId="77777777" w:rsidR="00571BEB" w:rsidRPr="002F4A7A" w:rsidRDefault="00571BEB" w:rsidP="00571BEB"/>
    <w:tbl>
      <w:tblPr>
        <w:tblStyle w:val="Tabladecuadrcula2-nfasis6"/>
        <w:tblW w:w="10490" w:type="dxa"/>
        <w:tblInd w:w="-851" w:type="dxa"/>
        <w:tblLook w:val="04A0" w:firstRow="1" w:lastRow="0" w:firstColumn="1" w:lastColumn="0" w:noHBand="0" w:noVBand="1"/>
      </w:tblPr>
      <w:tblGrid>
        <w:gridCol w:w="993"/>
        <w:gridCol w:w="1418"/>
        <w:gridCol w:w="8079"/>
      </w:tblGrid>
      <w:tr w:rsidR="00571BEB" w:rsidRPr="002F4A7A" w14:paraId="2A2F719C" w14:textId="77777777" w:rsidTr="003B314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3" w:type="dxa"/>
            <w:vAlign w:val="center"/>
          </w:tcPr>
          <w:p w14:paraId="355DA99B" w14:textId="77777777" w:rsidR="00571BEB" w:rsidRPr="002F4A7A" w:rsidRDefault="00571BEB" w:rsidP="00385846">
            <w:pPr>
              <w:jc w:val="center"/>
              <w:rPr>
                <w:i/>
                <w:color w:val="385623" w:themeColor="accent6" w:themeShade="80"/>
                <w:sz w:val="14"/>
                <w:szCs w:val="18"/>
              </w:rPr>
            </w:pPr>
            <w:r w:rsidRPr="002F4A7A">
              <w:rPr>
                <w:i/>
                <w:color w:val="385623" w:themeColor="accent6" w:themeShade="80"/>
                <w:sz w:val="14"/>
                <w:szCs w:val="18"/>
              </w:rPr>
              <w:t>Resolución Rectoral</w:t>
            </w:r>
          </w:p>
        </w:tc>
        <w:tc>
          <w:tcPr>
            <w:tcW w:w="1418" w:type="dxa"/>
            <w:vAlign w:val="center"/>
          </w:tcPr>
          <w:p w14:paraId="65406B82" w14:textId="77777777" w:rsidR="00571BEB" w:rsidRPr="002F4A7A" w:rsidRDefault="00571BEB" w:rsidP="00385846">
            <w:pPr>
              <w:jc w:val="center"/>
              <w:cnfStyle w:val="100000000000" w:firstRow="1" w:lastRow="0" w:firstColumn="0" w:lastColumn="0" w:oddVBand="0" w:evenVBand="0" w:oddHBand="0" w:evenHBand="0" w:firstRowFirstColumn="0" w:firstRowLastColumn="0" w:lastRowFirstColumn="0" w:lastRowLastColumn="0"/>
              <w:rPr>
                <w:i/>
                <w:color w:val="385623" w:themeColor="accent6" w:themeShade="80"/>
                <w:sz w:val="14"/>
                <w:szCs w:val="18"/>
              </w:rPr>
            </w:pPr>
            <w:r w:rsidRPr="002F4A7A">
              <w:rPr>
                <w:i/>
                <w:color w:val="385623" w:themeColor="accent6" w:themeShade="80"/>
                <w:sz w:val="14"/>
                <w:szCs w:val="18"/>
              </w:rPr>
              <w:t>Fecha</w:t>
            </w:r>
          </w:p>
        </w:tc>
        <w:tc>
          <w:tcPr>
            <w:tcW w:w="8079" w:type="dxa"/>
            <w:vAlign w:val="center"/>
          </w:tcPr>
          <w:p w14:paraId="73695003" w14:textId="77777777" w:rsidR="00571BEB" w:rsidRPr="002F4A7A" w:rsidRDefault="00571BEB" w:rsidP="00385846">
            <w:pPr>
              <w:jc w:val="center"/>
              <w:cnfStyle w:val="100000000000" w:firstRow="1" w:lastRow="0" w:firstColumn="0" w:lastColumn="0" w:oddVBand="0" w:evenVBand="0" w:oddHBand="0" w:evenHBand="0" w:firstRowFirstColumn="0" w:firstRowLastColumn="0" w:lastRowFirstColumn="0" w:lastRowLastColumn="0"/>
              <w:rPr>
                <w:i/>
                <w:color w:val="385623" w:themeColor="accent6" w:themeShade="80"/>
                <w:sz w:val="14"/>
                <w:szCs w:val="18"/>
              </w:rPr>
            </w:pPr>
            <w:r w:rsidRPr="002F4A7A">
              <w:rPr>
                <w:i/>
                <w:color w:val="385623" w:themeColor="accent6" w:themeShade="80"/>
                <w:sz w:val="14"/>
                <w:szCs w:val="18"/>
              </w:rPr>
              <w:t>Observación</w:t>
            </w:r>
          </w:p>
        </w:tc>
      </w:tr>
      <w:tr w:rsidR="004F691D" w:rsidRPr="004F691D" w14:paraId="6A0021C9" w14:textId="77777777" w:rsidTr="004F691D">
        <w:trPr>
          <w:cnfStyle w:val="100000000000" w:firstRow="1" w:lastRow="0" w:firstColumn="0" w:lastColumn="0" w:oddVBand="0" w:evenVBand="0" w:oddHBand="0" w:evenHBand="0" w:firstRowFirstColumn="0" w:firstRowLastColumn="0" w:lastRowFirstColumn="0" w:lastRowLastColumn="0"/>
          <w:trHeight w:val="637"/>
          <w:tblHeader/>
        </w:trPr>
        <w:tc>
          <w:tcPr>
            <w:cnfStyle w:val="001000000000" w:firstRow="0" w:lastRow="0" w:firstColumn="1" w:lastColumn="0" w:oddVBand="0" w:evenVBand="0" w:oddHBand="0" w:evenHBand="0" w:firstRowFirstColumn="0" w:firstRowLastColumn="0" w:lastRowFirstColumn="0" w:lastRowLastColumn="0"/>
            <w:tcW w:w="993" w:type="dxa"/>
            <w:vAlign w:val="center"/>
          </w:tcPr>
          <w:p w14:paraId="26FA758B" w14:textId="56AD839F" w:rsidR="004F691D" w:rsidRPr="004F691D" w:rsidRDefault="004F691D" w:rsidP="00385846">
            <w:pPr>
              <w:jc w:val="center"/>
              <w:rPr>
                <w:color w:val="222222"/>
                <w:sz w:val="18"/>
                <w:szCs w:val="18"/>
              </w:rPr>
            </w:pPr>
            <w:r w:rsidRPr="004F691D">
              <w:rPr>
                <w:color w:val="222222"/>
                <w:sz w:val="18"/>
                <w:szCs w:val="18"/>
              </w:rPr>
              <w:t>39547</w:t>
            </w:r>
          </w:p>
        </w:tc>
        <w:tc>
          <w:tcPr>
            <w:tcW w:w="1418" w:type="dxa"/>
            <w:vAlign w:val="center"/>
          </w:tcPr>
          <w:p w14:paraId="717C1256" w14:textId="0563291B" w:rsidR="004F691D" w:rsidRPr="004F691D" w:rsidRDefault="004F691D" w:rsidP="004F691D">
            <w:p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4F691D">
              <w:rPr>
                <w:b w:val="0"/>
                <w:bCs w:val="0"/>
                <w:sz w:val="18"/>
                <w:szCs w:val="18"/>
              </w:rPr>
              <w:t xml:space="preserve">9 de </w:t>
            </w:r>
            <w:r>
              <w:rPr>
                <w:b w:val="0"/>
                <w:bCs w:val="0"/>
                <w:sz w:val="18"/>
                <w:szCs w:val="18"/>
              </w:rPr>
              <w:t>d</w:t>
            </w:r>
            <w:r w:rsidRPr="004F691D">
              <w:rPr>
                <w:b w:val="0"/>
                <w:bCs w:val="0"/>
                <w:sz w:val="18"/>
                <w:szCs w:val="18"/>
              </w:rPr>
              <w:t>iciembre de 2014</w:t>
            </w:r>
          </w:p>
        </w:tc>
        <w:tc>
          <w:tcPr>
            <w:tcW w:w="8079" w:type="dxa"/>
            <w:vAlign w:val="center"/>
          </w:tcPr>
          <w:p w14:paraId="3FD859F7" w14:textId="77CD26E3" w:rsidR="004F691D" w:rsidRPr="004F691D" w:rsidRDefault="004F691D" w:rsidP="008C7838">
            <w:pPr>
              <w:autoSpaceDE w:val="0"/>
              <w:autoSpaceDN w:val="0"/>
              <w:adjustRightInd w:val="0"/>
              <w:cnfStyle w:val="100000000000" w:firstRow="1" w:lastRow="0" w:firstColumn="0" w:lastColumn="0" w:oddVBand="0" w:evenVBand="0" w:oddHBand="0" w:evenHBand="0" w:firstRowFirstColumn="0" w:firstRowLastColumn="0" w:lastRowFirstColumn="0" w:lastRowLastColumn="0"/>
              <w:rPr>
                <w:b w:val="0"/>
                <w:color w:val="222222"/>
                <w:sz w:val="18"/>
                <w:szCs w:val="18"/>
              </w:rPr>
            </w:pPr>
            <w:r w:rsidRPr="004F691D">
              <w:rPr>
                <w:b w:val="0"/>
                <w:color w:val="222222"/>
                <w:sz w:val="18"/>
                <w:szCs w:val="18"/>
              </w:rPr>
              <w:t>Asignación de recursos provenientes del impuesto sobre la renta para la equidad CREE, para el año 2014 por $9.2</w:t>
            </w:r>
            <w:r w:rsidR="008C7838">
              <w:rPr>
                <w:b w:val="0"/>
                <w:color w:val="222222"/>
                <w:sz w:val="18"/>
                <w:szCs w:val="18"/>
              </w:rPr>
              <w:t xml:space="preserve">00.000.000 </w:t>
            </w:r>
            <w:r w:rsidRPr="004F691D">
              <w:rPr>
                <w:b w:val="0"/>
                <w:color w:val="222222"/>
                <w:sz w:val="18"/>
                <w:szCs w:val="18"/>
              </w:rPr>
              <w:t xml:space="preserve">millones para la adquisición de Lote “La Bedout” para la nueva sede de la </w:t>
            </w:r>
            <w:r w:rsidR="00F44A7E">
              <w:rPr>
                <w:color w:val="222222"/>
                <w:sz w:val="18"/>
                <w:szCs w:val="18"/>
              </w:rPr>
              <w:t>Facultad Nacional de Salud Pública.</w:t>
            </w:r>
          </w:p>
        </w:tc>
      </w:tr>
      <w:tr w:rsidR="00571BEB" w:rsidRPr="002F4A7A" w14:paraId="36F8896E" w14:textId="77777777" w:rsidTr="003B3149">
        <w:trPr>
          <w:cnfStyle w:val="000000100000" w:firstRow="0" w:lastRow="0" w:firstColumn="0" w:lastColumn="0" w:oddVBand="0" w:evenVBand="0" w:oddHBand="1" w:evenHBand="0" w:firstRowFirstColumn="0" w:firstRowLastColumn="0" w:lastRowFirstColumn="0" w:lastRowLastColumn="0"/>
          <w:trHeight w:val="1553"/>
        </w:trPr>
        <w:tc>
          <w:tcPr>
            <w:cnfStyle w:val="001000000000" w:firstRow="0" w:lastRow="0" w:firstColumn="1" w:lastColumn="0" w:oddVBand="0" w:evenVBand="0" w:oddHBand="0" w:evenHBand="0" w:firstRowFirstColumn="0" w:firstRowLastColumn="0" w:lastRowFirstColumn="0" w:lastRowLastColumn="0"/>
            <w:tcW w:w="993" w:type="dxa"/>
            <w:vAlign w:val="center"/>
          </w:tcPr>
          <w:p w14:paraId="79264483" w14:textId="77777777" w:rsidR="00571BEB" w:rsidRPr="00DE7C3B" w:rsidRDefault="00571BEB" w:rsidP="00385846">
            <w:pPr>
              <w:jc w:val="center"/>
              <w:rPr>
                <w:sz w:val="18"/>
                <w:szCs w:val="18"/>
              </w:rPr>
            </w:pPr>
            <w:r w:rsidRPr="00DE7C3B">
              <w:rPr>
                <w:sz w:val="18"/>
                <w:szCs w:val="18"/>
              </w:rPr>
              <w:t>43009</w:t>
            </w:r>
          </w:p>
        </w:tc>
        <w:tc>
          <w:tcPr>
            <w:tcW w:w="1418" w:type="dxa"/>
            <w:vAlign w:val="center"/>
          </w:tcPr>
          <w:p w14:paraId="4C1F436F" w14:textId="77777777" w:rsidR="00571BEB" w:rsidRPr="00DE7C3B" w:rsidRDefault="00571BEB" w:rsidP="00385846">
            <w:pPr>
              <w:cnfStyle w:val="000000100000" w:firstRow="0" w:lastRow="0" w:firstColumn="0" w:lastColumn="0" w:oddVBand="0" w:evenVBand="0" w:oddHBand="1" w:evenHBand="0" w:firstRowFirstColumn="0" w:firstRowLastColumn="0" w:lastRowFirstColumn="0" w:lastRowLastColumn="0"/>
              <w:rPr>
                <w:sz w:val="18"/>
                <w:szCs w:val="18"/>
              </w:rPr>
            </w:pPr>
            <w:r w:rsidRPr="00DE7C3B">
              <w:rPr>
                <w:sz w:val="18"/>
                <w:szCs w:val="18"/>
              </w:rPr>
              <w:t>23 de junio de 2017</w:t>
            </w:r>
          </w:p>
        </w:tc>
        <w:tc>
          <w:tcPr>
            <w:tcW w:w="8079" w:type="dxa"/>
            <w:vAlign w:val="center"/>
          </w:tcPr>
          <w:p w14:paraId="666ADE40" w14:textId="77777777" w:rsidR="00571BEB" w:rsidRPr="00DE7C3B" w:rsidRDefault="00571BEB" w:rsidP="00385846">
            <w:pPr>
              <w:cnfStyle w:val="000000100000" w:firstRow="0" w:lastRow="0" w:firstColumn="0" w:lastColumn="0" w:oddVBand="0" w:evenVBand="0" w:oddHBand="1" w:evenHBand="0" w:firstRowFirstColumn="0" w:firstRowLastColumn="0" w:lastRowFirstColumn="0" w:lastRowLastColumn="0"/>
              <w:rPr>
                <w:color w:val="222222"/>
                <w:sz w:val="18"/>
                <w:szCs w:val="18"/>
              </w:rPr>
            </w:pPr>
            <w:r w:rsidRPr="00DE7C3B">
              <w:rPr>
                <w:color w:val="222222"/>
                <w:sz w:val="18"/>
                <w:szCs w:val="18"/>
              </w:rPr>
              <w:t>Por la cual se modifican parcialmente las Resoluciones Rectorales 33733 del 20 de diciembre de 2011 36315 del 22 de enero de 2013 y la 38139 del 11 de diciembre de 2013, que asignaron recursos provenientes de la estampilla "La Universidad de Antioquia de Cara al Tercer Siglo de Labor".</w:t>
            </w:r>
          </w:p>
          <w:p w14:paraId="2CDD30CA" w14:textId="77777777" w:rsidR="00571BEB" w:rsidRPr="00DE7C3B" w:rsidRDefault="00571BEB" w:rsidP="00385846">
            <w:pPr>
              <w:cnfStyle w:val="000000100000" w:firstRow="0" w:lastRow="0" w:firstColumn="0" w:lastColumn="0" w:oddVBand="0" w:evenVBand="0" w:oddHBand="1" w:evenHBand="0" w:firstRowFirstColumn="0" w:firstRowLastColumn="0" w:lastRowFirstColumn="0" w:lastRowLastColumn="0"/>
              <w:rPr>
                <w:color w:val="222222"/>
                <w:sz w:val="18"/>
                <w:szCs w:val="18"/>
              </w:rPr>
            </w:pPr>
          </w:p>
          <w:p w14:paraId="3CA592AB" w14:textId="77777777" w:rsidR="00571BEB" w:rsidRPr="00DE7C3B" w:rsidRDefault="00571BEB" w:rsidP="00385846">
            <w:pPr>
              <w:cnfStyle w:val="000000100000" w:firstRow="0" w:lastRow="0" w:firstColumn="0" w:lastColumn="0" w:oddVBand="0" w:evenVBand="0" w:oddHBand="1" w:evenHBand="0" w:firstRowFirstColumn="0" w:firstRowLastColumn="0" w:lastRowFirstColumn="0" w:lastRowLastColumn="0"/>
              <w:rPr>
                <w:color w:val="222222"/>
                <w:sz w:val="18"/>
                <w:szCs w:val="18"/>
              </w:rPr>
            </w:pPr>
            <w:r w:rsidRPr="00DE7C3B">
              <w:rPr>
                <w:color w:val="222222"/>
                <w:sz w:val="18"/>
                <w:szCs w:val="18"/>
              </w:rPr>
              <w:t xml:space="preserve">Se asignan $5.369.779.000, para inversión del </w:t>
            </w:r>
            <w:r w:rsidRPr="00DE7C3B">
              <w:rPr>
                <w:b/>
                <w:color w:val="222222"/>
                <w:sz w:val="18"/>
                <w:szCs w:val="18"/>
              </w:rPr>
              <w:t>Complejo de Salud.</w:t>
            </w:r>
          </w:p>
        </w:tc>
      </w:tr>
      <w:tr w:rsidR="00571BEB" w:rsidRPr="002F4A7A" w14:paraId="2BA13707" w14:textId="77777777" w:rsidTr="007D5394">
        <w:trPr>
          <w:trHeight w:val="1426"/>
        </w:trPr>
        <w:tc>
          <w:tcPr>
            <w:cnfStyle w:val="001000000000" w:firstRow="0" w:lastRow="0" w:firstColumn="1" w:lastColumn="0" w:oddVBand="0" w:evenVBand="0" w:oddHBand="0" w:evenHBand="0" w:firstRowFirstColumn="0" w:firstRowLastColumn="0" w:lastRowFirstColumn="0" w:lastRowLastColumn="0"/>
            <w:tcW w:w="993" w:type="dxa"/>
            <w:vAlign w:val="center"/>
          </w:tcPr>
          <w:p w14:paraId="77BD1C98" w14:textId="77777777" w:rsidR="00571BEB" w:rsidRPr="00DE7C3B" w:rsidRDefault="00571BEB" w:rsidP="00385846">
            <w:pPr>
              <w:jc w:val="center"/>
              <w:rPr>
                <w:sz w:val="18"/>
                <w:szCs w:val="18"/>
              </w:rPr>
            </w:pPr>
            <w:r w:rsidRPr="00DE7C3B">
              <w:rPr>
                <w:color w:val="222222"/>
                <w:sz w:val="18"/>
                <w:szCs w:val="18"/>
              </w:rPr>
              <w:t>43030</w:t>
            </w:r>
          </w:p>
        </w:tc>
        <w:tc>
          <w:tcPr>
            <w:tcW w:w="1418" w:type="dxa"/>
            <w:vAlign w:val="center"/>
          </w:tcPr>
          <w:p w14:paraId="2CFEF90B" w14:textId="77777777" w:rsidR="00571BEB" w:rsidRPr="00DE7C3B" w:rsidRDefault="00571BEB" w:rsidP="00385846">
            <w:pPr>
              <w:ind w:left="29"/>
              <w:cnfStyle w:val="000000000000" w:firstRow="0" w:lastRow="0" w:firstColumn="0" w:lastColumn="0" w:oddVBand="0" w:evenVBand="0" w:oddHBand="0" w:evenHBand="0" w:firstRowFirstColumn="0" w:firstRowLastColumn="0" w:lastRowFirstColumn="0" w:lastRowLastColumn="0"/>
              <w:rPr>
                <w:sz w:val="18"/>
                <w:szCs w:val="18"/>
              </w:rPr>
            </w:pPr>
            <w:r w:rsidRPr="00DE7C3B">
              <w:rPr>
                <w:color w:val="222222"/>
                <w:sz w:val="18"/>
                <w:szCs w:val="18"/>
              </w:rPr>
              <w:t>30 de junio de 2017</w:t>
            </w:r>
          </w:p>
        </w:tc>
        <w:tc>
          <w:tcPr>
            <w:tcW w:w="8079" w:type="dxa"/>
            <w:vAlign w:val="center"/>
          </w:tcPr>
          <w:p w14:paraId="4CA4DE5B" w14:textId="7D213436" w:rsidR="00571BEB" w:rsidRPr="00DE7C3B" w:rsidRDefault="00571BEB" w:rsidP="00385846">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222222"/>
                <w:sz w:val="18"/>
                <w:szCs w:val="18"/>
              </w:rPr>
            </w:pPr>
            <w:r w:rsidRPr="00DE7C3B">
              <w:rPr>
                <w:color w:val="222222"/>
                <w:sz w:val="18"/>
                <w:szCs w:val="18"/>
              </w:rPr>
              <w:t xml:space="preserve">Crear en el presupuesto de los Fondos de Gestión de Apoyo a los Ejes Misionales de la U de A, el Centro Gestor 10410037 denominado </w:t>
            </w:r>
            <w:r w:rsidR="00C807BC">
              <w:rPr>
                <w:b/>
                <w:color w:val="222222"/>
                <w:sz w:val="18"/>
                <w:szCs w:val="18"/>
              </w:rPr>
              <w:t>"Complejo d</w:t>
            </w:r>
            <w:r w:rsidR="00C807BC" w:rsidRPr="00C807BC">
              <w:rPr>
                <w:b/>
                <w:color w:val="222222"/>
                <w:sz w:val="18"/>
                <w:szCs w:val="18"/>
              </w:rPr>
              <w:t>e La Salud</w:t>
            </w:r>
            <w:r w:rsidRPr="00DE7C3B">
              <w:rPr>
                <w:color w:val="222222"/>
                <w:sz w:val="18"/>
                <w:szCs w:val="18"/>
              </w:rPr>
              <w:t>", su actividad será de Administración, la ordenación del gasto estará a cargo del Vicerrector Administrativo.</w:t>
            </w:r>
          </w:p>
          <w:p w14:paraId="6BF32E36" w14:textId="77777777" w:rsidR="00571BEB" w:rsidRPr="00DE7C3B" w:rsidRDefault="00571BEB" w:rsidP="00385846">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222222"/>
                <w:sz w:val="18"/>
                <w:szCs w:val="18"/>
              </w:rPr>
            </w:pPr>
          </w:p>
          <w:p w14:paraId="6B40AFB2" w14:textId="77777777" w:rsidR="00571BEB" w:rsidRPr="00DE7C3B" w:rsidRDefault="00571BEB" w:rsidP="00385846">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222222"/>
                <w:sz w:val="18"/>
                <w:szCs w:val="18"/>
              </w:rPr>
            </w:pPr>
            <w:r w:rsidRPr="00DE7C3B">
              <w:rPr>
                <w:color w:val="222222"/>
                <w:sz w:val="18"/>
                <w:szCs w:val="18"/>
              </w:rPr>
              <w:t>Adicionar el presupuesto de ingresos y egresos del Fondo de Administración General de la Universidad de Antioquia, en la suma de $3.259.000.000</w:t>
            </w:r>
          </w:p>
        </w:tc>
      </w:tr>
      <w:tr w:rsidR="00571BEB" w:rsidRPr="002F4A7A" w14:paraId="4F94CF9A" w14:textId="77777777" w:rsidTr="003B314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93" w:type="dxa"/>
            <w:vAlign w:val="center"/>
          </w:tcPr>
          <w:p w14:paraId="62C8C8A7" w14:textId="77777777" w:rsidR="00571BEB" w:rsidRPr="00DE7C3B" w:rsidRDefault="00571BEB" w:rsidP="00385846">
            <w:pPr>
              <w:jc w:val="center"/>
              <w:rPr>
                <w:sz w:val="18"/>
                <w:szCs w:val="18"/>
              </w:rPr>
            </w:pPr>
            <w:r w:rsidRPr="00DE7C3B">
              <w:rPr>
                <w:sz w:val="18"/>
                <w:szCs w:val="18"/>
              </w:rPr>
              <w:t>43331</w:t>
            </w:r>
          </w:p>
        </w:tc>
        <w:tc>
          <w:tcPr>
            <w:tcW w:w="1418" w:type="dxa"/>
            <w:vAlign w:val="center"/>
          </w:tcPr>
          <w:p w14:paraId="4BC6A8F3" w14:textId="77777777" w:rsidR="00571BEB" w:rsidRPr="00DE7C3B" w:rsidRDefault="00571BEB" w:rsidP="00385846">
            <w:pPr>
              <w:ind w:left="29"/>
              <w:cnfStyle w:val="000000100000" w:firstRow="0" w:lastRow="0" w:firstColumn="0" w:lastColumn="0" w:oddVBand="0" w:evenVBand="0" w:oddHBand="1" w:evenHBand="0" w:firstRowFirstColumn="0" w:firstRowLastColumn="0" w:lastRowFirstColumn="0" w:lastRowLastColumn="0"/>
              <w:rPr>
                <w:sz w:val="18"/>
                <w:szCs w:val="18"/>
              </w:rPr>
            </w:pPr>
            <w:r w:rsidRPr="00DE7C3B">
              <w:rPr>
                <w:sz w:val="18"/>
                <w:szCs w:val="18"/>
              </w:rPr>
              <w:t xml:space="preserve">7 de </w:t>
            </w:r>
            <w:r w:rsidRPr="00DE7C3B">
              <w:rPr>
                <w:color w:val="222222"/>
                <w:sz w:val="18"/>
                <w:szCs w:val="18"/>
              </w:rPr>
              <w:t>septiembre</w:t>
            </w:r>
            <w:r w:rsidRPr="00DE7C3B">
              <w:rPr>
                <w:sz w:val="18"/>
                <w:szCs w:val="18"/>
              </w:rPr>
              <w:t xml:space="preserve"> de 2017</w:t>
            </w:r>
          </w:p>
        </w:tc>
        <w:tc>
          <w:tcPr>
            <w:tcW w:w="8079" w:type="dxa"/>
            <w:vAlign w:val="center"/>
          </w:tcPr>
          <w:p w14:paraId="54151AE4" w14:textId="128484C5" w:rsidR="00571BEB" w:rsidRDefault="00571BEB" w:rsidP="00633077">
            <w:pPr>
              <w:cnfStyle w:val="000000100000" w:firstRow="0" w:lastRow="0" w:firstColumn="0" w:lastColumn="0" w:oddVBand="0" w:evenVBand="0" w:oddHBand="1" w:evenHBand="0" w:firstRowFirstColumn="0" w:firstRowLastColumn="0" w:lastRowFirstColumn="0" w:lastRowLastColumn="0"/>
              <w:rPr>
                <w:color w:val="222222"/>
                <w:sz w:val="18"/>
                <w:szCs w:val="18"/>
              </w:rPr>
            </w:pPr>
            <w:r w:rsidRPr="00DE7C3B">
              <w:rPr>
                <w:color w:val="222222"/>
                <w:sz w:val="18"/>
                <w:szCs w:val="18"/>
              </w:rPr>
              <w:t>Se crean</w:t>
            </w:r>
            <w:r w:rsidR="00633077">
              <w:rPr>
                <w:color w:val="222222"/>
                <w:sz w:val="18"/>
                <w:szCs w:val="18"/>
              </w:rPr>
              <w:t xml:space="preserve"> tres</w:t>
            </w:r>
            <w:r w:rsidRPr="00DE7C3B">
              <w:rPr>
                <w:color w:val="222222"/>
                <w:sz w:val="18"/>
                <w:szCs w:val="18"/>
              </w:rPr>
              <w:t xml:space="preserve"> Comités para el “Proyecto </w:t>
            </w:r>
            <w:r w:rsidRPr="00C807BC">
              <w:rPr>
                <w:b/>
                <w:color w:val="222222"/>
                <w:sz w:val="18"/>
                <w:szCs w:val="18"/>
              </w:rPr>
              <w:t>Complejo de Salud</w:t>
            </w:r>
            <w:r w:rsidRPr="00DE7C3B">
              <w:rPr>
                <w:color w:val="222222"/>
                <w:sz w:val="18"/>
                <w:szCs w:val="18"/>
              </w:rPr>
              <w:t>.</w:t>
            </w:r>
          </w:p>
          <w:p w14:paraId="00E64519" w14:textId="77777777" w:rsidR="00633077" w:rsidRPr="00633077" w:rsidRDefault="00633077" w:rsidP="00633077">
            <w:pPr>
              <w:cnfStyle w:val="000000100000" w:firstRow="0" w:lastRow="0" w:firstColumn="0" w:lastColumn="0" w:oddVBand="0" w:evenVBand="0" w:oddHBand="1" w:evenHBand="0" w:firstRowFirstColumn="0" w:firstRowLastColumn="0" w:lastRowFirstColumn="0" w:lastRowLastColumn="0"/>
              <w:rPr>
                <w:color w:val="222222"/>
                <w:sz w:val="6"/>
                <w:szCs w:val="18"/>
              </w:rPr>
            </w:pPr>
          </w:p>
          <w:p w14:paraId="3EF4F095" w14:textId="77777777" w:rsidR="00633077" w:rsidRPr="00DE7C3B" w:rsidRDefault="00633077" w:rsidP="00633077">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color w:val="222222"/>
                <w:sz w:val="18"/>
                <w:szCs w:val="18"/>
              </w:rPr>
            </w:pPr>
            <w:r w:rsidRPr="00DE7C3B">
              <w:rPr>
                <w:color w:val="222222"/>
                <w:sz w:val="18"/>
                <w:szCs w:val="18"/>
              </w:rPr>
              <w:t>Comité de dirección, administrativo y financiero</w:t>
            </w:r>
          </w:p>
          <w:p w14:paraId="55BE6130" w14:textId="77777777" w:rsidR="00633077" w:rsidRPr="00DE7C3B" w:rsidRDefault="00633077" w:rsidP="00633077">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color w:val="222222"/>
                <w:sz w:val="18"/>
                <w:szCs w:val="18"/>
              </w:rPr>
            </w:pPr>
            <w:r w:rsidRPr="00DE7C3B">
              <w:rPr>
                <w:color w:val="222222"/>
                <w:sz w:val="18"/>
                <w:szCs w:val="18"/>
              </w:rPr>
              <w:t>Comité Académico</w:t>
            </w:r>
          </w:p>
          <w:p w14:paraId="1F4C5CE7" w14:textId="55D9DC79" w:rsidR="00633077" w:rsidRPr="00633077" w:rsidRDefault="00633077" w:rsidP="00633077">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color w:val="222222"/>
                <w:sz w:val="18"/>
                <w:szCs w:val="18"/>
              </w:rPr>
            </w:pPr>
            <w:r w:rsidRPr="00DE7C3B">
              <w:rPr>
                <w:color w:val="222222"/>
                <w:sz w:val="18"/>
                <w:szCs w:val="18"/>
              </w:rPr>
              <w:t>Comité Técnico o de Obra</w:t>
            </w:r>
          </w:p>
        </w:tc>
      </w:tr>
      <w:tr w:rsidR="00571BEB" w:rsidRPr="002F4A7A" w14:paraId="5DDCF9C6" w14:textId="77777777" w:rsidTr="007D5394">
        <w:trPr>
          <w:trHeight w:val="1005"/>
        </w:trPr>
        <w:tc>
          <w:tcPr>
            <w:cnfStyle w:val="001000000000" w:firstRow="0" w:lastRow="0" w:firstColumn="1" w:lastColumn="0" w:oddVBand="0" w:evenVBand="0" w:oddHBand="0" w:evenHBand="0" w:firstRowFirstColumn="0" w:firstRowLastColumn="0" w:lastRowFirstColumn="0" w:lastRowLastColumn="0"/>
            <w:tcW w:w="993" w:type="dxa"/>
            <w:vAlign w:val="center"/>
          </w:tcPr>
          <w:p w14:paraId="1AED1DF1" w14:textId="77777777" w:rsidR="00571BEB" w:rsidRPr="00DE7C3B" w:rsidRDefault="00571BEB" w:rsidP="00385846">
            <w:pPr>
              <w:jc w:val="center"/>
              <w:rPr>
                <w:color w:val="222222"/>
                <w:sz w:val="18"/>
                <w:szCs w:val="18"/>
              </w:rPr>
            </w:pPr>
            <w:r w:rsidRPr="00DE7C3B">
              <w:rPr>
                <w:color w:val="222222"/>
                <w:sz w:val="18"/>
                <w:szCs w:val="18"/>
              </w:rPr>
              <w:t>43567</w:t>
            </w:r>
          </w:p>
        </w:tc>
        <w:tc>
          <w:tcPr>
            <w:tcW w:w="1418" w:type="dxa"/>
            <w:vAlign w:val="center"/>
          </w:tcPr>
          <w:p w14:paraId="15A2559C" w14:textId="77777777" w:rsidR="00571BEB" w:rsidRPr="00DE7C3B" w:rsidRDefault="00571BEB" w:rsidP="00385846">
            <w:pPr>
              <w:ind w:left="29"/>
              <w:cnfStyle w:val="000000000000" w:firstRow="0" w:lastRow="0" w:firstColumn="0" w:lastColumn="0" w:oddVBand="0" w:evenVBand="0" w:oddHBand="0" w:evenHBand="0" w:firstRowFirstColumn="0" w:firstRowLastColumn="0" w:lastRowFirstColumn="0" w:lastRowLastColumn="0"/>
              <w:rPr>
                <w:color w:val="222222"/>
                <w:sz w:val="18"/>
                <w:szCs w:val="18"/>
              </w:rPr>
            </w:pPr>
            <w:r w:rsidRPr="00DE7C3B">
              <w:rPr>
                <w:color w:val="222222"/>
                <w:sz w:val="18"/>
                <w:szCs w:val="18"/>
              </w:rPr>
              <w:t>16 de noviembre de 2017</w:t>
            </w:r>
          </w:p>
        </w:tc>
        <w:tc>
          <w:tcPr>
            <w:tcW w:w="8079" w:type="dxa"/>
            <w:vAlign w:val="center"/>
          </w:tcPr>
          <w:p w14:paraId="12C2FFD3" w14:textId="1407F111" w:rsidR="00571BEB" w:rsidRPr="00DE7C3B" w:rsidRDefault="00571BEB" w:rsidP="00C807BC">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222222"/>
                <w:sz w:val="18"/>
                <w:szCs w:val="18"/>
              </w:rPr>
            </w:pPr>
            <w:r w:rsidRPr="00DE7C3B">
              <w:rPr>
                <w:color w:val="222222"/>
                <w:sz w:val="18"/>
                <w:szCs w:val="18"/>
              </w:rPr>
              <w:t>Nombrar a la señora ANA MARÍA GUTIÉRREZ GIRALDO, como</w:t>
            </w:r>
            <w:r w:rsidR="00F8477E">
              <w:rPr>
                <w:color w:val="222222"/>
                <w:sz w:val="18"/>
                <w:szCs w:val="18"/>
              </w:rPr>
              <w:t xml:space="preserve"> </w:t>
            </w:r>
            <w:r w:rsidRPr="00DE7C3B">
              <w:rPr>
                <w:color w:val="222222"/>
                <w:sz w:val="18"/>
                <w:szCs w:val="18"/>
              </w:rPr>
              <w:t xml:space="preserve">Profesional 8 Temporal de tiempo completo, adscrita al </w:t>
            </w:r>
            <w:r w:rsidRPr="00A83AAD">
              <w:rPr>
                <w:b/>
                <w:color w:val="222222"/>
                <w:sz w:val="18"/>
                <w:szCs w:val="18"/>
              </w:rPr>
              <w:t>Complejo de Salud</w:t>
            </w:r>
            <w:r w:rsidRPr="00DE7C3B">
              <w:rPr>
                <w:color w:val="222222"/>
                <w:sz w:val="18"/>
                <w:szCs w:val="18"/>
              </w:rPr>
              <w:t xml:space="preserve"> de la Vicerrectoría Administrativa, con cargo a la unidad ejecutora 10410037, a partir de la fecha de posesión y hasta el 30 de diciembre de 2017, bajo las órdenes del respectivo jefe.</w:t>
            </w:r>
            <w:r w:rsidR="00EB5F4E">
              <w:rPr>
                <w:color w:val="222222"/>
                <w:sz w:val="18"/>
                <w:szCs w:val="18"/>
              </w:rPr>
              <w:t xml:space="preserve">   </w:t>
            </w:r>
          </w:p>
        </w:tc>
      </w:tr>
      <w:tr w:rsidR="00C807BC" w:rsidRPr="002F4A7A" w14:paraId="2FEE98AA" w14:textId="77777777" w:rsidTr="00C807BC">
        <w:trPr>
          <w:cnfStyle w:val="000000100000" w:firstRow="0" w:lastRow="0" w:firstColumn="0" w:lastColumn="0" w:oddVBand="0" w:evenVBand="0" w:oddHBand="1" w:evenHBand="0" w:firstRowFirstColumn="0" w:firstRowLastColumn="0" w:lastRowFirstColumn="0" w:lastRowLastColumn="0"/>
          <w:trHeight w:val="1294"/>
        </w:trPr>
        <w:tc>
          <w:tcPr>
            <w:cnfStyle w:val="001000000000" w:firstRow="0" w:lastRow="0" w:firstColumn="1" w:lastColumn="0" w:oddVBand="0" w:evenVBand="0" w:oddHBand="0" w:evenHBand="0" w:firstRowFirstColumn="0" w:firstRowLastColumn="0" w:lastRowFirstColumn="0" w:lastRowLastColumn="0"/>
            <w:tcW w:w="993" w:type="dxa"/>
            <w:vAlign w:val="center"/>
          </w:tcPr>
          <w:p w14:paraId="62EC5C15" w14:textId="3E678A83" w:rsidR="00C807BC" w:rsidRPr="00DE7C3B" w:rsidRDefault="00C807BC" w:rsidP="00385846">
            <w:pPr>
              <w:jc w:val="center"/>
              <w:rPr>
                <w:sz w:val="18"/>
                <w:szCs w:val="18"/>
              </w:rPr>
            </w:pPr>
            <w:r>
              <w:rPr>
                <w:sz w:val="18"/>
                <w:szCs w:val="18"/>
              </w:rPr>
              <w:t>43578</w:t>
            </w:r>
          </w:p>
        </w:tc>
        <w:tc>
          <w:tcPr>
            <w:tcW w:w="1418" w:type="dxa"/>
            <w:vAlign w:val="center"/>
          </w:tcPr>
          <w:p w14:paraId="20957A28" w14:textId="63607880" w:rsidR="00C807BC" w:rsidRPr="00DE7C3B" w:rsidRDefault="00C807BC" w:rsidP="00385846">
            <w:pPr>
              <w:ind w:left="29"/>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 de noviembre de 2017</w:t>
            </w:r>
          </w:p>
        </w:tc>
        <w:tc>
          <w:tcPr>
            <w:tcW w:w="8079" w:type="dxa"/>
            <w:vAlign w:val="center"/>
          </w:tcPr>
          <w:p w14:paraId="217C12EB" w14:textId="04B3C2F5" w:rsidR="00C807BC" w:rsidRPr="00DE7C3B" w:rsidRDefault="00C807BC" w:rsidP="00C807BC">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222222"/>
                <w:sz w:val="18"/>
                <w:szCs w:val="18"/>
              </w:rPr>
            </w:pPr>
            <w:r w:rsidRPr="00C807BC">
              <w:rPr>
                <w:color w:val="222222"/>
                <w:sz w:val="18"/>
                <w:szCs w:val="18"/>
              </w:rPr>
              <w:t xml:space="preserve">Nombrar a la señora ANA MARÍA GUTIÉRREZ GIRALDO, identificada con la cédula de ciudadanía 42.891.595, como Profesional 8 Temporal de tiempo completo, adscrita al </w:t>
            </w:r>
            <w:r w:rsidRPr="00A83AAD">
              <w:rPr>
                <w:b/>
                <w:color w:val="222222"/>
                <w:sz w:val="18"/>
                <w:szCs w:val="18"/>
              </w:rPr>
              <w:t>Complejo de Salud</w:t>
            </w:r>
            <w:r w:rsidRPr="00C807BC">
              <w:rPr>
                <w:color w:val="222222"/>
                <w:sz w:val="18"/>
                <w:szCs w:val="18"/>
              </w:rPr>
              <w:t xml:space="preserve"> de la Vicerrectoría Administrativa, con la remuneración que le corresponda, con cargo a la unidad ejecutora 10410037, a partir de la fecha de posesión y hasta el 31 de marzo de 2018, bajo las órdenes del respectivo jefe.</w:t>
            </w:r>
          </w:p>
        </w:tc>
      </w:tr>
      <w:tr w:rsidR="00C807BC" w:rsidRPr="002F4A7A" w14:paraId="2CFAD2E0" w14:textId="77777777" w:rsidTr="00C807BC">
        <w:trPr>
          <w:trHeight w:val="547"/>
        </w:trPr>
        <w:tc>
          <w:tcPr>
            <w:cnfStyle w:val="001000000000" w:firstRow="0" w:lastRow="0" w:firstColumn="1" w:lastColumn="0" w:oddVBand="0" w:evenVBand="0" w:oddHBand="0" w:evenHBand="0" w:firstRowFirstColumn="0" w:firstRowLastColumn="0" w:lastRowFirstColumn="0" w:lastRowLastColumn="0"/>
            <w:tcW w:w="993" w:type="dxa"/>
            <w:vAlign w:val="center"/>
          </w:tcPr>
          <w:p w14:paraId="28200BEA" w14:textId="764F4300" w:rsidR="00C807BC" w:rsidRPr="00DE7C3B" w:rsidRDefault="00C807BC" w:rsidP="00385846">
            <w:pPr>
              <w:jc w:val="center"/>
              <w:rPr>
                <w:sz w:val="18"/>
                <w:szCs w:val="18"/>
              </w:rPr>
            </w:pPr>
            <w:r>
              <w:rPr>
                <w:sz w:val="18"/>
                <w:szCs w:val="18"/>
              </w:rPr>
              <w:t>44083</w:t>
            </w:r>
          </w:p>
        </w:tc>
        <w:tc>
          <w:tcPr>
            <w:tcW w:w="1418" w:type="dxa"/>
            <w:vAlign w:val="center"/>
          </w:tcPr>
          <w:p w14:paraId="7075E4AD" w14:textId="4BC9F50E" w:rsidR="00C807BC" w:rsidRPr="00DE7C3B" w:rsidRDefault="00C807BC" w:rsidP="00385846">
            <w:pPr>
              <w:ind w:left="29"/>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22 de marzo de 2018</w:t>
            </w:r>
          </w:p>
        </w:tc>
        <w:tc>
          <w:tcPr>
            <w:tcW w:w="8079" w:type="dxa"/>
            <w:vAlign w:val="center"/>
          </w:tcPr>
          <w:p w14:paraId="75D2A46D" w14:textId="168D1AF3" w:rsidR="00C807BC" w:rsidRPr="00DE7C3B" w:rsidRDefault="00C807BC" w:rsidP="00C807BC">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222222"/>
                <w:sz w:val="18"/>
                <w:szCs w:val="18"/>
              </w:rPr>
            </w:pPr>
            <w:r w:rsidRPr="00C807BC">
              <w:rPr>
                <w:color w:val="222222"/>
                <w:sz w:val="18"/>
                <w:szCs w:val="18"/>
              </w:rPr>
              <w:t>Prorrogar hasta el 30 de junio de 2018 el nombramiento de ANA MARIA GUTIERREZ GIRALDO cedula 42891595 como profesional 8 temporal</w:t>
            </w:r>
            <w:r>
              <w:rPr>
                <w:color w:val="222222"/>
                <w:sz w:val="18"/>
                <w:szCs w:val="18"/>
              </w:rPr>
              <w:t>.</w:t>
            </w:r>
          </w:p>
        </w:tc>
      </w:tr>
      <w:tr w:rsidR="00571BEB" w:rsidRPr="002F4A7A" w14:paraId="49608E76" w14:textId="77777777" w:rsidTr="00633077">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993" w:type="dxa"/>
            <w:vAlign w:val="center"/>
          </w:tcPr>
          <w:p w14:paraId="0166FCA5" w14:textId="77777777" w:rsidR="00571BEB" w:rsidRPr="00DE7C3B" w:rsidRDefault="00571BEB" w:rsidP="00385846">
            <w:pPr>
              <w:jc w:val="center"/>
              <w:rPr>
                <w:sz w:val="18"/>
                <w:szCs w:val="18"/>
              </w:rPr>
            </w:pPr>
            <w:r w:rsidRPr="00DE7C3B">
              <w:rPr>
                <w:sz w:val="18"/>
                <w:szCs w:val="18"/>
              </w:rPr>
              <w:t>44139</w:t>
            </w:r>
          </w:p>
        </w:tc>
        <w:tc>
          <w:tcPr>
            <w:tcW w:w="1418" w:type="dxa"/>
            <w:vAlign w:val="center"/>
          </w:tcPr>
          <w:p w14:paraId="66F70601" w14:textId="77777777" w:rsidR="00571BEB" w:rsidRPr="00DE7C3B" w:rsidRDefault="00571BEB" w:rsidP="00385846">
            <w:pPr>
              <w:ind w:left="29"/>
              <w:cnfStyle w:val="000000100000" w:firstRow="0" w:lastRow="0" w:firstColumn="0" w:lastColumn="0" w:oddVBand="0" w:evenVBand="0" w:oddHBand="1" w:evenHBand="0" w:firstRowFirstColumn="0" w:firstRowLastColumn="0" w:lastRowFirstColumn="0" w:lastRowLastColumn="0"/>
              <w:rPr>
                <w:sz w:val="18"/>
                <w:szCs w:val="18"/>
              </w:rPr>
            </w:pPr>
            <w:r w:rsidRPr="00DE7C3B">
              <w:rPr>
                <w:sz w:val="18"/>
                <w:szCs w:val="18"/>
              </w:rPr>
              <w:t>3 de abril de 2018</w:t>
            </w:r>
          </w:p>
        </w:tc>
        <w:tc>
          <w:tcPr>
            <w:tcW w:w="8079" w:type="dxa"/>
            <w:vAlign w:val="center"/>
          </w:tcPr>
          <w:p w14:paraId="63121FF3" w14:textId="4DC01220" w:rsidR="00571BEB" w:rsidRPr="00DE7C3B" w:rsidRDefault="00571BEB" w:rsidP="00385846">
            <w:pPr>
              <w:cnfStyle w:val="000000100000" w:firstRow="0" w:lastRow="0" w:firstColumn="0" w:lastColumn="0" w:oddVBand="0" w:evenVBand="0" w:oddHBand="1" w:evenHBand="0" w:firstRowFirstColumn="0" w:firstRowLastColumn="0" w:lastRowFirstColumn="0" w:lastRowLastColumn="0"/>
              <w:rPr>
                <w:color w:val="222222"/>
                <w:sz w:val="18"/>
                <w:szCs w:val="18"/>
              </w:rPr>
            </w:pPr>
            <w:r w:rsidRPr="00DE7C3B">
              <w:rPr>
                <w:color w:val="222222"/>
                <w:sz w:val="18"/>
                <w:szCs w:val="18"/>
              </w:rPr>
              <w:t>Se sustituy</w:t>
            </w:r>
            <w:r w:rsidR="00633077">
              <w:rPr>
                <w:color w:val="222222"/>
                <w:sz w:val="18"/>
                <w:szCs w:val="18"/>
              </w:rPr>
              <w:t>e la Resolución Rectoral 43331</w:t>
            </w:r>
            <w:r w:rsidRPr="00DE7C3B">
              <w:rPr>
                <w:color w:val="222222"/>
                <w:sz w:val="18"/>
                <w:szCs w:val="18"/>
              </w:rPr>
              <w:t>, debido a que surgió la necesidad de modificar la composición de algunos comités como sus funciones.</w:t>
            </w:r>
            <w:r w:rsidR="0091231F">
              <w:rPr>
                <w:color w:val="222222"/>
                <w:sz w:val="18"/>
                <w:szCs w:val="18"/>
              </w:rPr>
              <w:t xml:space="preserve"> </w:t>
            </w:r>
            <w:r w:rsidR="0091231F" w:rsidRPr="00A83AAD">
              <w:rPr>
                <w:b/>
                <w:color w:val="222222"/>
                <w:sz w:val="18"/>
                <w:szCs w:val="18"/>
              </w:rPr>
              <w:t>Complejo de Salud</w:t>
            </w:r>
          </w:p>
        </w:tc>
      </w:tr>
    </w:tbl>
    <w:p w14:paraId="18460EE6" w14:textId="77777777" w:rsidR="00571BEB" w:rsidRDefault="00571BEB" w:rsidP="00571BEB"/>
    <w:p w14:paraId="257E1506" w14:textId="77777777" w:rsidR="007D5394" w:rsidRDefault="007D5394">
      <w:pPr>
        <w:spacing w:after="160" w:line="259" w:lineRule="auto"/>
        <w:rPr>
          <w:b/>
          <w:color w:val="385623" w:themeColor="accent6" w:themeShade="80"/>
          <w:sz w:val="22"/>
        </w:rPr>
      </w:pPr>
      <w:bookmarkStart w:id="26" w:name="_Toc512332495"/>
      <w:r>
        <w:rPr>
          <w:b/>
          <w:color w:val="385623" w:themeColor="accent6" w:themeShade="80"/>
          <w:sz w:val="22"/>
        </w:rPr>
        <w:br w:type="page"/>
      </w:r>
    </w:p>
    <w:p w14:paraId="72BE6C0C" w14:textId="682D1B52" w:rsidR="007D5394" w:rsidRPr="003B3149" w:rsidRDefault="007D5394" w:rsidP="007D5394">
      <w:pPr>
        <w:rPr>
          <w:b/>
          <w:color w:val="385623" w:themeColor="accent6" w:themeShade="80"/>
          <w:sz w:val="22"/>
        </w:rPr>
      </w:pPr>
      <w:r w:rsidRPr="003B3149">
        <w:rPr>
          <w:b/>
          <w:color w:val="385623" w:themeColor="accent6" w:themeShade="80"/>
          <w:sz w:val="22"/>
        </w:rPr>
        <w:lastRenderedPageBreak/>
        <w:t>Actas del Consejo Superior</w:t>
      </w:r>
      <w:bookmarkEnd w:id="26"/>
    </w:p>
    <w:p w14:paraId="0E43EB0B" w14:textId="77777777" w:rsidR="007D5394" w:rsidRDefault="007D5394" w:rsidP="007D5394">
      <w:pPr>
        <w:ind w:left="426"/>
      </w:pPr>
    </w:p>
    <w:tbl>
      <w:tblPr>
        <w:tblStyle w:val="Tabladecuadrcula2-nfasis6"/>
        <w:tblW w:w="10490" w:type="dxa"/>
        <w:jc w:val="center"/>
        <w:tblLook w:val="04A0" w:firstRow="1" w:lastRow="0" w:firstColumn="1" w:lastColumn="0" w:noHBand="0" w:noVBand="1"/>
      </w:tblPr>
      <w:tblGrid>
        <w:gridCol w:w="1122"/>
        <w:gridCol w:w="1288"/>
        <w:gridCol w:w="8080"/>
      </w:tblGrid>
      <w:tr w:rsidR="007D5394" w:rsidRPr="002F4A7A" w14:paraId="4F121514" w14:textId="77777777" w:rsidTr="00952B19">
        <w:trPr>
          <w:cnfStyle w:val="100000000000" w:firstRow="1" w:lastRow="0" w:firstColumn="0" w:lastColumn="0" w:oddVBand="0" w:evenVBand="0" w:oddHBand="0" w:evenHBand="0" w:firstRowFirstColumn="0" w:firstRowLastColumn="0" w:lastRowFirstColumn="0" w:lastRowLastColumn="0"/>
          <w:trHeight w:val="231"/>
          <w:tblHeader/>
          <w:jc w:val="center"/>
        </w:trPr>
        <w:tc>
          <w:tcPr>
            <w:cnfStyle w:val="001000000000" w:firstRow="0" w:lastRow="0" w:firstColumn="1" w:lastColumn="0" w:oddVBand="0" w:evenVBand="0" w:oddHBand="0" w:evenHBand="0" w:firstRowFirstColumn="0" w:firstRowLastColumn="0" w:lastRowFirstColumn="0" w:lastRowLastColumn="0"/>
            <w:tcW w:w="1122" w:type="dxa"/>
            <w:vAlign w:val="center"/>
          </w:tcPr>
          <w:p w14:paraId="5E9CC103" w14:textId="77777777" w:rsidR="007D5394" w:rsidRPr="002F4A7A" w:rsidRDefault="007D5394" w:rsidP="00952B19">
            <w:pPr>
              <w:jc w:val="center"/>
              <w:rPr>
                <w:i/>
                <w:color w:val="385623" w:themeColor="accent6" w:themeShade="80"/>
                <w:sz w:val="22"/>
                <w:szCs w:val="22"/>
              </w:rPr>
            </w:pPr>
            <w:r>
              <w:rPr>
                <w:i/>
                <w:color w:val="385623" w:themeColor="accent6" w:themeShade="80"/>
                <w:sz w:val="22"/>
              </w:rPr>
              <w:t>Acta n</w:t>
            </w:r>
            <w:r w:rsidRPr="002F4A7A">
              <w:rPr>
                <w:i/>
                <w:color w:val="385623" w:themeColor="accent6" w:themeShade="80"/>
                <w:sz w:val="22"/>
                <w:szCs w:val="22"/>
              </w:rPr>
              <w:t>ro.</w:t>
            </w:r>
          </w:p>
        </w:tc>
        <w:tc>
          <w:tcPr>
            <w:tcW w:w="1288" w:type="dxa"/>
            <w:vAlign w:val="center"/>
          </w:tcPr>
          <w:p w14:paraId="3EA57CE3" w14:textId="77777777" w:rsidR="007D5394" w:rsidRPr="002F4A7A" w:rsidRDefault="007D5394" w:rsidP="00952B19">
            <w:pPr>
              <w:jc w:val="center"/>
              <w:cnfStyle w:val="100000000000" w:firstRow="1" w:lastRow="0" w:firstColumn="0" w:lastColumn="0" w:oddVBand="0" w:evenVBand="0" w:oddHBand="0" w:evenHBand="0" w:firstRowFirstColumn="0" w:firstRowLastColumn="0" w:lastRowFirstColumn="0" w:lastRowLastColumn="0"/>
              <w:rPr>
                <w:i/>
                <w:color w:val="385623" w:themeColor="accent6" w:themeShade="80"/>
                <w:sz w:val="22"/>
                <w:szCs w:val="22"/>
              </w:rPr>
            </w:pPr>
            <w:r w:rsidRPr="002F4A7A">
              <w:rPr>
                <w:i/>
                <w:color w:val="385623" w:themeColor="accent6" w:themeShade="80"/>
                <w:sz w:val="22"/>
                <w:szCs w:val="22"/>
              </w:rPr>
              <w:t>Fecha</w:t>
            </w:r>
          </w:p>
        </w:tc>
        <w:tc>
          <w:tcPr>
            <w:tcW w:w="8080" w:type="dxa"/>
            <w:vAlign w:val="center"/>
          </w:tcPr>
          <w:p w14:paraId="6DB4E069" w14:textId="77777777" w:rsidR="007D5394" w:rsidRPr="002F4A7A" w:rsidRDefault="007D5394" w:rsidP="00952B19">
            <w:pPr>
              <w:jc w:val="center"/>
              <w:cnfStyle w:val="100000000000" w:firstRow="1" w:lastRow="0" w:firstColumn="0" w:lastColumn="0" w:oddVBand="0" w:evenVBand="0" w:oddHBand="0" w:evenHBand="0" w:firstRowFirstColumn="0" w:firstRowLastColumn="0" w:lastRowFirstColumn="0" w:lastRowLastColumn="0"/>
              <w:rPr>
                <w:i/>
                <w:color w:val="385623" w:themeColor="accent6" w:themeShade="80"/>
                <w:sz w:val="22"/>
                <w:szCs w:val="22"/>
              </w:rPr>
            </w:pPr>
            <w:r>
              <w:rPr>
                <w:i/>
                <w:color w:val="385623" w:themeColor="accent6" w:themeShade="80"/>
                <w:sz w:val="22"/>
                <w:szCs w:val="22"/>
              </w:rPr>
              <w:t>Extracto relacionado</w:t>
            </w:r>
          </w:p>
        </w:tc>
      </w:tr>
      <w:tr w:rsidR="007D5394" w:rsidRPr="002F4A7A" w14:paraId="0ACC47F9" w14:textId="77777777" w:rsidTr="00952B19">
        <w:trPr>
          <w:cnfStyle w:val="100000000000" w:firstRow="1" w:lastRow="0" w:firstColumn="0" w:lastColumn="0" w:oddVBand="0" w:evenVBand="0" w:oddHBand="0" w:evenHBand="0" w:firstRowFirstColumn="0" w:firstRowLastColumn="0" w:lastRowFirstColumn="0" w:lastRowLastColumn="0"/>
          <w:trHeight w:val="231"/>
          <w:tblHeader/>
          <w:jc w:val="center"/>
        </w:trPr>
        <w:tc>
          <w:tcPr>
            <w:cnfStyle w:val="001000000000" w:firstRow="0" w:lastRow="0" w:firstColumn="1" w:lastColumn="0" w:oddVBand="0" w:evenVBand="0" w:oddHBand="0" w:evenHBand="0" w:firstRowFirstColumn="0" w:firstRowLastColumn="0" w:lastRowFirstColumn="0" w:lastRowLastColumn="0"/>
            <w:tcW w:w="1122" w:type="dxa"/>
            <w:vAlign w:val="center"/>
          </w:tcPr>
          <w:p w14:paraId="03BF80B4" w14:textId="77777777" w:rsidR="007D5394" w:rsidRDefault="007D5394" w:rsidP="00952B19">
            <w:pPr>
              <w:jc w:val="center"/>
              <w:rPr>
                <w:i/>
                <w:color w:val="385623" w:themeColor="accent6" w:themeShade="80"/>
                <w:sz w:val="22"/>
              </w:rPr>
            </w:pPr>
          </w:p>
        </w:tc>
        <w:tc>
          <w:tcPr>
            <w:tcW w:w="1288" w:type="dxa"/>
            <w:vAlign w:val="center"/>
          </w:tcPr>
          <w:p w14:paraId="64B92419" w14:textId="77777777" w:rsidR="007D5394" w:rsidRPr="002F4A7A" w:rsidRDefault="007D5394" w:rsidP="00952B19">
            <w:pPr>
              <w:jc w:val="center"/>
              <w:cnfStyle w:val="100000000000" w:firstRow="1" w:lastRow="0" w:firstColumn="0" w:lastColumn="0" w:oddVBand="0" w:evenVBand="0" w:oddHBand="0" w:evenHBand="0" w:firstRowFirstColumn="0" w:firstRowLastColumn="0" w:lastRowFirstColumn="0" w:lastRowLastColumn="0"/>
              <w:rPr>
                <w:i/>
                <w:color w:val="385623" w:themeColor="accent6" w:themeShade="80"/>
                <w:sz w:val="22"/>
                <w:szCs w:val="22"/>
              </w:rPr>
            </w:pPr>
          </w:p>
        </w:tc>
        <w:tc>
          <w:tcPr>
            <w:tcW w:w="8080" w:type="dxa"/>
            <w:vAlign w:val="center"/>
          </w:tcPr>
          <w:p w14:paraId="2DAAC174" w14:textId="77777777" w:rsidR="007D5394" w:rsidRDefault="007D5394" w:rsidP="00952B19">
            <w:pPr>
              <w:jc w:val="center"/>
              <w:cnfStyle w:val="100000000000" w:firstRow="1" w:lastRow="0" w:firstColumn="0" w:lastColumn="0" w:oddVBand="0" w:evenVBand="0" w:oddHBand="0" w:evenHBand="0" w:firstRowFirstColumn="0" w:firstRowLastColumn="0" w:lastRowFirstColumn="0" w:lastRowLastColumn="0"/>
              <w:rPr>
                <w:i/>
                <w:color w:val="385623" w:themeColor="accent6" w:themeShade="80"/>
                <w:sz w:val="22"/>
                <w:szCs w:val="22"/>
              </w:rPr>
            </w:pPr>
          </w:p>
        </w:tc>
      </w:tr>
      <w:tr w:rsidR="007D5394" w:rsidRPr="002F4A7A" w14:paraId="6D36F7DA" w14:textId="77777777" w:rsidTr="00952B19">
        <w:trPr>
          <w:cnfStyle w:val="000000100000" w:firstRow="0" w:lastRow="0" w:firstColumn="0" w:lastColumn="0" w:oddVBand="0" w:evenVBand="0" w:oddHBand="1" w:evenHBand="0" w:firstRowFirstColumn="0" w:firstRowLastColumn="0" w:lastRowFirstColumn="0" w:lastRowLastColumn="0"/>
          <w:trHeight w:val="960"/>
          <w:jc w:val="center"/>
        </w:trPr>
        <w:tc>
          <w:tcPr>
            <w:cnfStyle w:val="001000000000" w:firstRow="0" w:lastRow="0" w:firstColumn="1" w:lastColumn="0" w:oddVBand="0" w:evenVBand="0" w:oddHBand="0" w:evenHBand="0" w:firstRowFirstColumn="0" w:firstRowLastColumn="0" w:lastRowFirstColumn="0" w:lastRowLastColumn="0"/>
            <w:tcW w:w="1122" w:type="dxa"/>
            <w:vAlign w:val="center"/>
          </w:tcPr>
          <w:p w14:paraId="59F1E436" w14:textId="77777777" w:rsidR="007D5394" w:rsidRPr="004D754E" w:rsidRDefault="007D5394" w:rsidP="00952B19">
            <w:pPr>
              <w:jc w:val="center"/>
              <w:rPr>
                <w:b w:val="0"/>
                <w:sz w:val="20"/>
                <w:szCs w:val="22"/>
              </w:rPr>
            </w:pPr>
            <w:r w:rsidRPr="004D754E">
              <w:rPr>
                <w:b w:val="0"/>
                <w:color w:val="222222"/>
                <w:sz w:val="20"/>
                <w:szCs w:val="22"/>
              </w:rPr>
              <w:t>351</w:t>
            </w:r>
          </w:p>
        </w:tc>
        <w:tc>
          <w:tcPr>
            <w:tcW w:w="1288" w:type="dxa"/>
            <w:vAlign w:val="center"/>
          </w:tcPr>
          <w:p w14:paraId="2FCCD3C5" w14:textId="77777777" w:rsidR="007D5394" w:rsidRPr="002F4A7A" w:rsidRDefault="007D5394" w:rsidP="00952B19">
            <w:pPr>
              <w:ind w:left="29"/>
              <w:jc w:val="center"/>
              <w:cnfStyle w:val="000000100000" w:firstRow="0" w:lastRow="0" w:firstColumn="0" w:lastColumn="0" w:oddVBand="0" w:evenVBand="0" w:oddHBand="1" w:evenHBand="0" w:firstRowFirstColumn="0" w:firstRowLastColumn="0" w:lastRowFirstColumn="0" w:lastRowLastColumn="0"/>
              <w:rPr>
                <w:sz w:val="20"/>
                <w:szCs w:val="22"/>
              </w:rPr>
            </w:pPr>
            <w:r w:rsidRPr="002F4A7A">
              <w:rPr>
                <w:color w:val="222222"/>
                <w:sz w:val="20"/>
                <w:szCs w:val="22"/>
              </w:rPr>
              <w:t>Octubre de 2016</w:t>
            </w:r>
          </w:p>
        </w:tc>
        <w:tc>
          <w:tcPr>
            <w:tcW w:w="8080" w:type="dxa"/>
            <w:vAlign w:val="center"/>
          </w:tcPr>
          <w:p w14:paraId="5FE4F279" w14:textId="77777777" w:rsidR="007D5394" w:rsidRPr="000923CF" w:rsidRDefault="007D5394" w:rsidP="00952B19">
            <w:pPr>
              <w:ind w:left="29"/>
              <w:jc w:val="both"/>
              <w:cnfStyle w:val="000000100000" w:firstRow="0" w:lastRow="0" w:firstColumn="0" w:lastColumn="0" w:oddVBand="0" w:evenVBand="0" w:oddHBand="1" w:evenHBand="0" w:firstRowFirstColumn="0" w:firstRowLastColumn="0" w:lastRowFirstColumn="0" w:lastRowLastColumn="0"/>
              <w:rPr>
                <w:sz w:val="18"/>
                <w:szCs w:val="16"/>
              </w:rPr>
            </w:pPr>
            <w:r w:rsidRPr="000923CF">
              <w:rPr>
                <w:sz w:val="18"/>
                <w:szCs w:val="16"/>
              </w:rPr>
              <w:t>Nombramiento de un comité para evaluar el tema de la expansión de la Universidad. Refiere el caso del edificio de la Editorial de Bedout para la ampliación de la Facultad Nacional de Salud Pública, se tiene la intención de adquirir los lotes aledaños a la editorial</w:t>
            </w:r>
            <w:r>
              <w:rPr>
                <w:sz w:val="18"/>
                <w:szCs w:val="16"/>
              </w:rPr>
              <w:t>.</w:t>
            </w:r>
          </w:p>
        </w:tc>
      </w:tr>
      <w:tr w:rsidR="007D5394" w:rsidRPr="002F4A7A" w14:paraId="4BCF07EF" w14:textId="77777777" w:rsidTr="00952B19">
        <w:trPr>
          <w:trHeight w:val="1387"/>
          <w:jc w:val="center"/>
        </w:trPr>
        <w:tc>
          <w:tcPr>
            <w:cnfStyle w:val="001000000000" w:firstRow="0" w:lastRow="0" w:firstColumn="1" w:lastColumn="0" w:oddVBand="0" w:evenVBand="0" w:oddHBand="0" w:evenHBand="0" w:firstRowFirstColumn="0" w:firstRowLastColumn="0" w:lastRowFirstColumn="0" w:lastRowLastColumn="0"/>
            <w:tcW w:w="1122" w:type="dxa"/>
            <w:vAlign w:val="center"/>
          </w:tcPr>
          <w:p w14:paraId="70CF559C" w14:textId="77777777" w:rsidR="007D5394" w:rsidRPr="004D754E" w:rsidRDefault="007D5394" w:rsidP="00952B19">
            <w:pPr>
              <w:jc w:val="center"/>
              <w:rPr>
                <w:b w:val="0"/>
                <w:color w:val="222222"/>
                <w:sz w:val="20"/>
                <w:szCs w:val="22"/>
              </w:rPr>
            </w:pPr>
            <w:r w:rsidRPr="004D754E">
              <w:rPr>
                <w:b w:val="0"/>
                <w:color w:val="222222"/>
                <w:sz w:val="20"/>
                <w:szCs w:val="22"/>
              </w:rPr>
              <w:t>354</w:t>
            </w:r>
          </w:p>
        </w:tc>
        <w:tc>
          <w:tcPr>
            <w:tcW w:w="1288" w:type="dxa"/>
            <w:vAlign w:val="center"/>
          </w:tcPr>
          <w:p w14:paraId="5D1445C5" w14:textId="77777777" w:rsidR="007D5394" w:rsidRPr="002F4A7A" w:rsidRDefault="007D5394" w:rsidP="00952B19">
            <w:pPr>
              <w:ind w:left="29"/>
              <w:jc w:val="center"/>
              <w:cnfStyle w:val="000000000000" w:firstRow="0" w:lastRow="0" w:firstColumn="0" w:lastColumn="0" w:oddVBand="0" w:evenVBand="0" w:oddHBand="0" w:evenHBand="0" w:firstRowFirstColumn="0" w:firstRowLastColumn="0" w:lastRowFirstColumn="0" w:lastRowLastColumn="0"/>
              <w:rPr>
                <w:color w:val="222222"/>
                <w:sz w:val="20"/>
                <w:szCs w:val="22"/>
              </w:rPr>
            </w:pPr>
            <w:r w:rsidRPr="002F4A7A">
              <w:rPr>
                <w:color w:val="222222"/>
                <w:sz w:val="20"/>
                <w:szCs w:val="22"/>
              </w:rPr>
              <w:t>Diciembre de 2016</w:t>
            </w:r>
          </w:p>
        </w:tc>
        <w:tc>
          <w:tcPr>
            <w:tcW w:w="8080" w:type="dxa"/>
            <w:vAlign w:val="center"/>
          </w:tcPr>
          <w:p w14:paraId="6DC57965" w14:textId="77777777" w:rsidR="007D5394" w:rsidRPr="000923CF" w:rsidRDefault="007D5394" w:rsidP="00952B19">
            <w:pPr>
              <w:ind w:left="29"/>
              <w:jc w:val="both"/>
              <w:cnfStyle w:val="000000000000" w:firstRow="0" w:lastRow="0" w:firstColumn="0" w:lastColumn="0" w:oddVBand="0" w:evenVBand="0" w:oddHBand="0" w:evenHBand="0" w:firstRowFirstColumn="0" w:firstRowLastColumn="0" w:lastRowFirstColumn="0" w:lastRowLastColumn="0"/>
              <w:rPr>
                <w:color w:val="222222"/>
                <w:sz w:val="18"/>
                <w:szCs w:val="22"/>
              </w:rPr>
            </w:pPr>
            <w:r w:rsidRPr="000923CF">
              <w:rPr>
                <w:sz w:val="18"/>
                <w:szCs w:val="16"/>
              </w:rPr>
              <w:t xml:space="preserve"> (INFORME DE LA COMISION INMOBILIARIA) Proyecto de la Salud: Integración de las Facultades de Salud Pública, Enfermería, Odontología, Ciencias Farmacéuticas y Alimentarias, Escuela de Microbiología e Instituto de Nutrición y Dietética, en un solo edificio ubicado en el Distrito de la Innovación de Medellín. Se requiere la compra de un predio de propiedad de Comfama colindante con el predio de la Universidad (antigua Editorial Bedout), para la consolidación del proyecto completo. El predio está avaluado en $8.200 millones de pesos. </w:t>
            </w:r>
          </w:p>
        </w:tc>
      </w:tr>
      <w:tr w:rsidR="007D5394" w:rsidRPr="002F4A7A" w14:paraId="40E96277" w14:textId="77777777" w:rsidTr="00952B19">
        <w:trPr>
          <w:cnfStyle w:val="000000100000" w:firstRow="0" w:lastRow="0" w:firstColumn="0" w:lastColumn="0" w:oddVBand="0" w:evenVBand="0" w:oddHBand="1" w:evenHBand="0" w:firstRowFirstColumn="0" w:firstRowLastColumn="0" w:lastRowFirstColumn="0" w:lastRowLastColumn="0"/>
          <w:trHeight w:val="1407"/>
          <w:jc w:val="center"/>
        </w:trPr>
        <w:tc>
          <w:tcPr>
            <w:cnfStyle w:val="001000000000" w:firstRow="0" w:lastRow="0" w:firstColumn="1" w:lastColumn="0" w:oddVBand="0" w:evenVBand="0" w:oddHBand="0" w:evenHBand="0" w:firstRowFirstColumn="0" w:firstRowLastColumn="0" w:lastRowFirstColumn="0" w:lastRowLastColumn="0"/>
            <w:tcW w:w="1122" w:type="dxa"/>
            <w:vAlign w:val="center"/>
          </w:tcPr>
          <w:p w14:paraId="6070398F" w14:textId="77777777" w:rsidR="007D5394" w:rsidRPr="004D754E" w:rsidRDefault="007D5394" w:rsidP="00952B19">
            <w:pPr>
              <w:jc w:val="center"/>
              <w:rPr>
                <w:b w:val="0"/>
                <w:color w:val="222222"/>
                <w:sz w:val="20"/>
                <w:szCs w:val="22"/>
              </w:rPr>
            </w:pPr>
            <w:r w:rsidRPr="004D754E">
              <w:rPr>
                <w:b w:val="0"/>
                <w:color w:val="222222"/>
                <w:sz w:val="20"/>
                <w:szCs w:val="22"/>
              </w:rPr>
              <w:t>355</w:t>
            </w:r>
          </w:p>
        </w:tc>
        <w:tc>
          <w:tcPr>
            <w:tcW w:w="1288" w:type="dxa"/>
            <w:vAlign w:val="center"/>
          </w:tcPr>
          <w:p w14:paraId="4C5D05B4" w14:textId="77777777" w:rsidR="007D5394" w:rsidRPr="002F4A7A" w:rsidRDefault="007D5394" w:rsidP="00952B19">
            <w:pPr>
              <w:ind w:left="29"/>
              <w:jc w:val="center"/>
              <w:cnfStyle w:val="000000100000" w:firstRow="0" w:lastRow="0" w:firstColumn="0" w:lastColumn="0" w:oddVBand="0" w:evenVBand="0" w:oddHBand="1" w:evenHBand="0" w:firstRowFirstColumn="0" w:firstRowLastColumn="0" w:lastRowFirstColumn="0" w:lastRowLastColumn="0"/>
              <w:rPr>
                <w:color w:val="222222"/>
                <w:sz w:val="20"/>
                <w:szCs w:val="22"/>
              </w:rPr>
            </w:pPr>
            <w:r w:rsidRPr="002F4A7A">
              <w:rPr>
                <w:color w:val="222222"/>
                <w:sz w:val="20"/>
                <w:szCs w:val="22"/>
              </w:rPr>
              <w:t>Febrero de 2017</w:t>
            </w:r>
          </w:p>
        </w:tc>
        <w:tc>
          <w:tcPr>
            <w:tcW w:w="8080" w:type="dxa"/>
            <w:vAlign w:val="center"/>
          </w:tcPr>
          <w:p w14:paraId="27B0B3AB" w14:textId="77777777" w:rsidR="007D5394" w:rsidRPr="000923CF" w:rsidRDefault="007D5394" w:rsidP="00952B19">
            <w:pPr>
              <w:ind w:left="29"/>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923CF">
              <w:rPr>
                <w:sz w:val="18"/>
                <w:szCs w:val="16"/>
              </w:rPr>
              <w:t xml:space="preserve">Este año se ha iniciado el proceso de lo que se ha llamado el Distrito de la Salud, se trata de un proyecto que tiene la Universidad con el cual se pretende además de la construcción de la infraestructura, construir un modelo académico que permita articular las unidades académicas que conforman el área de la Salud. </w:t>
            </w:r>
            <w:r>
              <w:rPr>
                <w:sz w:val="18"/>
                <w:szCs w:val="16"/>
              </w:rPr>
              <w:t>Se</w:t>
            </w:r>
            <w:r w:rsidRPr="000923CF">
              <w:rPr>
                <w:sz w:val="18"/>
                <w:szCs w:val="16"/>
              </w:rPr>
              <w:t xml:space="preserve"> espera conformar unos grupos de trabajo con los decanos y directores del área de la salud para afinar los diseños y construir el modelo académico, que pretende ser integrador e innovador. Se tiene un cronograma de trabajo y se espera que en menos de 18 meses se tengan listos los diseños.</w:t>
            </w:r>
          </w:p>
        </w:tc>
      </w:tr>
      <w:tr w:rsidR="007D5394" w:rsidRPr="002F4A7A" w14:paraId="31E32A5B" w14:textId="77777777" w:rsidTr="00952B19">
        <w:trPr>
          <w:trHeight w:val="1001"/>
          <w:jc w:val="center"/>
        </w:trPr>
        <w:tc>
          <w:tcPr>
            <w:cnfStyle w:val="001000000000" w:firstRow="0" w:lastRow="0" w:firstColumn="1" w:lastColumn="0" w:oddVBand="0" w:evenVBand="0" w:oddHBand="0" w:evenHBand="0" w:firstRowFirstColumn="0" w:firstRowLastColumn="0" w:lastRowFirstColumn="0" w:lastRowLastColumn="0"/>
            <w:tcW w:w="1122" w:type="dxa"/>
            <w:vAlign w:val="center"/>
          </w:tcPr>
          <w:p w14:paraId="547343AC" w14:textId="77777777" w:rsidR="007D5394" w:rsidRPr="004D754E" w:rsidRDefault="007D5394" w:rsidP="00952B19">
            <w:pPr>
              <w:jc w:val="center"/>
              <w:rPr>
                <w:b w:val="0"/>
                <w:color w:val="222222"/>
                <w:sz w:val="20"/>
                <w:szCs w:val="22"/>
              </w:rPr>
            </w:pPr>
            <w:r w:rsidRPr="004D754E">
              <w:rPr>
                <w:b w:val="0"/>
                <w:color w:val="222222"/>
                <w:sz w:val="20"/>
                <w:szCs w:val="22"/>
              </w:rPr>
              <w:t>362</w:t>
            </w:r>
          </w:p>
        </w:tc>
        <w:tc>
          <w:tcPr>
            <w:tcW w:w="1288" w:type="dxa"/>
            <w:vAlign w:val="center"/>
          </w:tcPr>
          <w:p w14:paraId="64F81285" w14:textId="77777777" w:rsidR="007D5394" w:rsidRPr="002F4A7A" w:rsidRDefault="007D5394" w:rsidP="00952B19">
            <w:pPr>
              <w:ind w:left="29"/>
              <w:jc w:val="center"/>
              <w:cnfStyle w:val="000000000000" w:firstRow="0" w:lastRow="0" w:firstColumn="0" w:lastColumn="0" w:oddVBand="0" w:evenVBand="0" w:oddHBand="0" w:evenHBand="0" w:firstRowFirstColumn="0" w:firstRowLastColumn="0" w:lastRowFirstColumn="0" w:lastRowLastColumn="0"/>
              <w:rPr>
                <w:color w:val="222222"/>
                <w:sz w:val="20"/>
                <w:szCs w:val="22"/>
              </w:rPr>
            </w:pPr>
            <w:r w:rsidRPr="002F4A7A">
              <w:rPr>
                <w:color w:val="222222"/>
                <w:sz w:val="20"/>
                <w:szCs w:val="22"/>
              </w:rPr>
              <w:t>Julio de 2017</w:t>
            </w:r>
          </w:p>
        </w:tc>
        <w:tc>
          <w:tcPr>
            <w:tcW w:w="8080" w:type="dxa"/>
            <w:vAlign w:val="center"/>
          </w:tcPr>
          <w:p w14:paraId="1BEB6DE2" w14:textId="77777777" w:rsidR="007D5394" w:rsidRPr="00312B3A" w:rsidRDefault="007D5394" w:rsidP="00952B19">
            <w:pPr>
              <w:ind w:left="29"/>
              <w:jc w:val="both"/>
              <w:cnfStyle w:val="000000000000" w:firstRow="0" w:lastRow="0" w:firstColumn="0" w:lastColumn="0" w:oddVBand="0" w:evenVBand="0" w:oddHBand="0" w:evenHBand="0" w:firstRowFirstColumn="0" w:firstRowLastColumn="0" w:lastRowFirstColumn="0" w:lastRowLastColumn="0"/>
              <w:rPr>
                <w:sz w:val="18"/>
                <w:szCs w:val="16"/>
              </w:rPr>
            </w:pPr>
            <w:r w:rsidRPr="00312B3A">
              <w:rPr>
                <w:sz w:val="18"/>
                <w:szCs w:val="16"/>
              </w:rPr>
              <w:t>COMISIÓN DE ASUNTOS ADMINISTRATIVOS Y FINANCIEROS – CAAF)</w:t>
            </w:r>
            <w:r>
              <w:rPr>
                <w:sz w:val="18"/>
                <w:szCs w:val="16"/>
              </w:rPr>
              <w:t xml:space="preserve"> S</w:t>
            </w:r>
            <w:r w:rsidRPr="00312B3A">
              <w:rPr>
                <w:sz w:val="18"/>
                <w:szCs w:val="16"/>
              </w:rPr>
              <w:t>e autoriza la celebración de un contrato de mandato, con representación, con la Corporación Interuniversitaria de Servicios -CIS-, para la administración de recursos tendientes a la adquisición de los estudios y diseños arquitectónicos, urbanísticos y técnicos del denominado Complejo de la Salud.</w:t>
            </w:r>
          </w:p>
        </w:tc>
      </w:tr>
      <w:tr w:rsidR="007D5394" w:rsidRPr="002F4A7A" w14:paraId="41D8D0A4" w14:textId="77777777" w:rsidTr="00952B19">
        <w:trPr>
          <w:cnfStyle w:val="000000100000" w:firstRow="0" w:lastRow="0" w:firstColumn="0" w:lastColumn="0" w:oddVBand="0" w:evenVBand="0" w:oddHBand="1" w:evenHBand="0" w:firstRowFirstColumn="0" w:firstRowLastColumn="0" w:lastRowFirstColumn="0" w:lastRowLastColumn="0"/>
          <w:trHeight w:val="1399"/>
          <w:jc w:val="center"/>
        </w:trPr>
        <w:tc>
          <w:tcPr>
            <w:cnfStyle w:val="001000000000" w:firstRow="0" w:lastRow="0" w:firstColumn="1" w:lastColumn="0" w:oddVBand="0" w:evenVBand="0" w:oddHBand="0" w:evenHBand="0" w:firstRowFirstColumn="0" w:firstRowLastColumn="0" w:lastRowFirstColumn="0" w:lastRowLastColumn="0"/>
            <w:tcW w:w="1122" w:type="dxa"/>
            <w:vAlign w:val="center"/>
          </w:tcPr>
          <w:p w14:paraId="72DCA1D3" w14:textId="77777777" w:rsidR="007D5394" w:rsidRPr="004D754E" w:rsidRDefault="007D5394" w:rsidP="00952B19">
            <w:pPr>
              <w:jc w:val="center"/>
              <w:rPr>
                <w:b w:val="0"/>
                <w:color w:val="222222"/>
                <w:sz w:val="20"/>
                <w:szCs w:val="22"/>
              </w:rPr>
            </w:pPr>
            <w:r w:rsidRPr="004D754E">
              <w:rPr>
                <w:b w:val="0"/>
                <w:color w:val="222222"/>
                <w:sz w:val="20"/>
                <w:szCs w:val="22"/>
              </w:rPr>
              <w:t>364</w:t>
            </w:r>
          </w:p>
        </w:tc>
        <w:tc>
          <w:tcPr>
            <w:tcW w:w="1288" w:type="dxa"/>
            <w:vAlign w:val="center"/>
          </w:tcPr>
          <w:p w14:paraId="15390168" w14:textId="77777777" w:rsidR="007D5394" w:rsidRPr="002F4A7A" w:rsidRDefault="007D5394" w:rsidP="00952B19">
            <w:pPr>
              <w:ind w:left="29"/>
              <w:jc w:val="center"/>
              <w:cnfStyle w:val="000000100000" w:firstRow="0" w:lastRow="0" w:firstColumn="0" w:lastColumn="0" w:oddVBand="0" w:evenVBand="0" w:oddHBand="1" w:evenHBand="0" w:firstRowFirstColumn="0" w:firstRowLastColumn="0" w:lastRowFirstColumn="0" w:lastRowLastColumn="0"/>
              <w:rPr>
                <w:color w:val="222222"/>
                <w:sz w:val="20"/>
                <w:szCs w:val="22"/>
              </w:rPr>
            </w:pPr>
            <w:r w:rsidRPr="002F4A7A">
              <w:rPr>
                <w:color w:val="222222"/>
                <w:sz w:val="20"/>
                <w:szCs w:val="22"/>
              </w:rPr>
              <w:t>Septiembre de 2017</w:t>
            </w:r>
          </w:p>
        </w:tc>
        <w:tc>
          <w:tcPr>
            <w:tcW w:w="8080" w:type="dxa"/>
            <w:vAlign w:val="center"/>
          </w:tcPr>
          <w:p w14:paraId="46F7C008" w14:textId="77777777" w:rsidR="007D5394" w:rsidRPr="00546000" w:rsidRDefault="007D5394" w:rsidP="00952B19">
            <w:pPr>
              <w:ind w:left="29"/>
              <w:jc w:val="both"/>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Informe de reunión </w:t>
            </w:r>
            <w:r w:rsidRPr="00546000">
              <w:rPr>
                <w:sz w:val="18"/>
                <w:szCs w:val="16"/>
              </w:rPr>
              <w:t>con profesores, estudiantes y empleados de la Facultad Nacional de Salud Pública, donde se presentó y discutió el proyecto Complejo de la Salud.</w:t>
            </w:r>
          </w:p>
          <w:p w14:paraId="298ED729" w14:textId="77777777" w:rsidR="007D5394" w:rsidRPr="00546000" w:rsidRDefault="007D5394" w:rsidP="00952B19">
            <w:pPr>
              <w:ind w:left="29"/>
              <w:jc w:val="both"/>
              <w:cnfStyle w:val="000000100000" w:firstRow="0" w:lastRow="0" w:firstColumn="0" w:lastColumn="0" w:oddVBand="0" w:evenVBand="0" w:oddHBand="1" w:evenHBand="0" w:firstRowFirstColumn="0" w:firstRowLastColumn="0" w:lastRowFirstColumn="0" w:lastRowLastColumn="0"/>
              <w:rPr>
                <w:sz w:val="18"/>
                <w:szCs w:val="16"/>
              </w:rPr>
            </w:pPr>
            <w:r w:rsidRPr="00546000">
              <w:rPr>
                <w:sz w:val="18"/>
                <w:szCs w:val="16"/>
              </w:rPr>
              <w:t>El proyecto está pensado para seis unidades académicas; pero, sin duda, dependencias como Ciencias Agrarias, Educación Física y Medicina hacen parte del proyecto porque guardan relación con el área de la salud.</w:t>
            </w:r>
          </w:p>
          <w:p w14:paraId="67E11B15" w14:textId="77777777" w:rsidR="007D5394" w:rsidRPr="00312B3A" w:rsidRDefault="007D5394" w:rsidP="00952B19">
            <w:pPr>
              <w:ind w:left="29"/>
              <w:jc w:val="both"/>
              <w:cnfStyle w:val="000000100000" w:firstRow="0" w:lastRow="0" w:firstColumn="0" w:lastColumn="0" w:oddVBand="0" w:evenVBand="0" w:oddHBand="1" w:evenHBand="0" w:firstRowFirstColumn="0" w:firstRowLastColumn="0" w:lastRowFirstColumn="0" w:lastRowLastColumn="0"/>
              <w:rPr>
                <w:sz w:val="18"/>
                <w:szCs w:val="16"/>
              </w:rPr>
            </w:pPr>
            <w:r w:rsidRPr="00546000">
              <w:rPr>
                <w:sz w:val="18"/>
                <w:szCs w:val="16"/>
              </w:rPr>
              <w:t>El rector informa que ha sostenido reuniones con Microbiología, Odontología, Enfermería y Ciencias Farmacéuticas y Alimentarias, y en ellas, expresa el Rector, ha encontrado apoyo y entusiasmo de cara al proyecto</w:t>
            </w:r>
          </w:p>
        </w:tc>
      </w:tr>
      <w:tr w:rsidR="007D5394" w:rsidRPr="002F4A7A" w14:paraId="05B8E057" w14:textId="77777777" w:rsidTr="00952B19">
        <w:trPr>
          <w:trHeight w:val="1281"/>
          <w:jc w:val="center"/>
        </w:trPr>
        <w:tc>
          <w:tcPr>
            <w:cnfStyle w:val="001000000000" w:firstRow="0" w:lastRow="0" w:firstColumn="1" w:lastColumn="0" w:oddVBand="0" w:evenVBand="0" w:oddHBand="0" w:evenHBand="0" w:firstRowFirstColumn="0" w:firstRowLastColumn="0" w:lastRowFirstColumn="0" w:lastRowLastColumn="0"/>
            <w:tcW w:w="1122" w:type="dxa"/>
            <w:vAlign w:val="center"/>
          </w:tcPr>
          <w:p w14:paraId="35C8FF84" w14:textId="77777777" w:rsidR="007D5394" w:rsidRPr="004D754E" w:rsidRDefault="007D5394" w:rsidP="00952B19">
            <w:pPr>
              <w:jc w:val="center"/>
              <w:rPr>
                <w:b w:val="0"/>
                <w:color w:val="222222"/>
                <w:sz w:val="20"/>
                <w:szCs w:val="22"/>
              </w:rPr>
            </w:pPr>
            <w:r w:rsidRPr="004D754E">
              <w:rPr>
                <w:b w:val="0"/>
                <w:color w:val="222222"/>
                <w:sz w:val="20"/>
                <w:szCs w:val="22"/>
              </w:rPr>
              <w:t>366</w:t>
            </w:r>
          </w:p>
        </w:tc>
        <w:tc>
          <w:tcPr>
            <w:tcW w:w="1288" w:type="dxa"/>
            <w:vAlign w:val="center"/>
          </w:tcPr>
          <w:p w14:paraId="7AFF3FEB" w14:textId="77777777" w:rsidR="007D5394" w:rsidRPr="002F4A7A" w:rsidRDefault="007D5394" w:rsidP="00952B19">
            <w:pPr>
              <w:ind w:left="29"/>
              <w:jc w:val="center"/>
              <w:cnfStyle w:val="000000000000" w:firstRow="0" w:lastRow="0" w:firstColumn="0" w:lastColumn="0" w:oddVBand="0" w:evenVBand="0" w:oddHBand="0" w:evenHBand="0" w:firstRowFirstColumn="0" w:firstRowLastColumn="0" w:lastRowFirstColumn="0" w:lastRowLastColumn="0"/>
              <w:rPr>
                <w:color w:val="222222"/>
                <w:sz w:val="20"/>
                <w:szCs w:val="22"/>
              </w:rPr>
            </w:pPr>
            <w:r w:rsidRPr="002F4A7A">
              <w:rPr>
                <w:color w:val="222222"/>
                <w:sz w:val="20"/>
                <w:szCs w:val="22"/>
              </w:rPr>
              <w:t>Noviembre de 2017</w:t>
            </w:r>
          </w:p>
        </w:tc>
        <w:tc>
          <w:tcPr>
            <w:tcW w:w="8080" w:type="dxa"/>
            <w:vAlign w:val="center"/>
          </w:tcPr>
          <w:p w14:paraId="52E1E582" w14:textId="1D33DDC3" w:rsidR="00956116" w:rsidRPr="00956116" w:rsidRDefault="007D5394" w:rsidP="00956116">
            <w:pPr>
              <w:ind w:left="29"/>
              <w:jc w:val="both"/>
              <w:cnfStyle w:val="000000000000" w:firstRow="0" w:lastRow="0" w:firstColumn="0" w:lastColumn="0" w:oddVBand="0" w:evenVBand="0" w:oddHBand="0" w:evenHBand="0" w:firstRowFirstColumn="0" w:firstRowLastColumn="0" w:lastRowFirstColumn="0" w:lastRowLastColumn="0"/>
              <w:rPr>
                <w:sz w:val="18"/>
                <w:szCs w:val="16"/>
              </w:rPr>
            </w:pPr>
            <w:r w:rsidRPr="00E12D26">
              <w:rPr>
                <w:sz w:val="18"/>
                <w:szCs w:val="16"/>
              </w:rPr>
              <w:t>Se informa que el valor total del Complejo de la Salud sería cerca de 220 mil millones de pesos, incluida la dotación.</w:t>
            </w:r>
            <w:r w:rsidR="00956116">
              <w:rPr>
                <w:sz w:val="18"/>
                <w:szCs w:val="16"/>
              </w:rPr>
              <w:t xml:space="preserve"> </w:t>
            </w:r>
            <w:r w:rsidR="00956116" w:rsidRPr="00956116">
              <w:rPr>
                <w:sz w:val="18"/>
                <w:szCs w:val="16"/>
              </w:rPr>
              <w:t>Se recuerda que el Consejo Superior Universitario aprobó los prediseños para el Complejo de la Salud y ya se proclamó la firma ganadora (Sebastián Molina + Taller Síntesis)</w:t>
            </w:r>
          </w:p>
          <w:p w14:paraId="4B514C96" w14:textId="7DE27E00" w:rsidR="00956116" w:rsidRDefault="00956116" w:rsidP="00956116">
            <w:pPr>
              <w:ind w:left="29"/>
              <w:jc w:val="both"/>
              <w:cnfStyle w:val="000000000000" w:firstRow="0" w:lastRow="0" w:firstColumn="0" w:lastColumn="0" w:oddVBand="0" w:evenVBand="0" w:oddHBand="0" w:evenHBand="0" w:firstRowFirstColumn="0" w:firstRowLastColumn="0" w:lastRowFirstColumn="0" w:lastRowLastColumn="0"/>
              <w:rPr>
                <w:sz w:val="18"/>
                <w:szCs w:val="16"/>
              </w:rPr>
            </w:pPr>
            <w:r w:rsidRPr="00956116">
              <w:rPr>
                <w:sz w:val="18"/>
                <w:szCs w:val="16"/>
              </w:rPr>
              <w:t>Se presentó el</w:t>
            </w:r>
            <w:r>
              <w:rPr>
                <w:sz w:val="18"/>
                <w:szCs w:val="16"/>
              </w:rPr>
              <w:t xml:space="preserve"> proyecto a LUIS ALBERTO MORENO-</w:t>
            </w:r>
            <w:r w:rsidRPr="00956116">
              <w:rPr>
                <w:sz w:val="18"/>
                <w:szCs w:val="16"/>
              </w:rPr>
              <w:t xml:space="preserve"> Presidente del BID, quien expresó que más importante que la consecución de dinero, es el modelo de ciudad en el que está enmarcado, es decir en el Distrito de la Innovación. También el Alcalde de Medellín y el Gobernador de Antioquia están comprometidos con el proyecto, lo que pone a la Universidad de Antioquia en una situación privilegiada. Se informa que el valor total incluida la dotación serían cerca de 220 mil millones de pesos. </w:t>
            </w:r>
          </w:p>
          <w:p w14:paraId="7916121C" w14:textId="6A8D570C" w:rsidR="00956116" w:rsidRPr="00956116" w:rsidRDefault="00956116" w:rsidP="00956116">
            <w:pPr>
              <w:ind w:left="29"/>
              <w:jc w:val="both"/>
              <w:cnfStyle w:val="000000000000" w:firstRow="0" w:lastRow="0" w:firstColumn="0" w:lastColumn="0" w:oddVBand="0" w:evenVBand="0" w:oddHBand="0" w:evenHBand="0" w:firstRowFirstColumn="0" w:firstRowLastColumn="0" w:lastRowFirstColumn="0" w:lastRowLastColumn="0"/>
              <w:rPr>
                <w:sz w:val="18"/>
                <w:szCs w:val="16"/>
              </w:rPr>
            </w:pPr>
            <w:r w:rsidRPr="00956116">
              <w:rPr>
                <w:sz w:val="18"/>
                <w:szCs w:val="16"/>
              </w:rPr>
              <w:t xml:space="preserve">El BID tiene hoy dos formas de financiar este tipo de proyectos: una es de forma completamente privada con tasas de interés competitivas. La otra vía es pública y requiere avales como, por ejemplo, del Ministerio de Hacienda, de ahí que sea tan importante el papel que desempeñará la Alcaldía de Medellín y la Gobernación de Antioquia. </w:t>
            </w:r>
          </w:p>
          <w:p w14:paraId="0BDBAE42" w14:textId="4B2CD707" w:rsidR="00956116" w:rsidRPr="00E12D26" w:rsidRDefault="00956116" w:rsidP="00956116">
            <w:pPr>
              <w:ind w:left="29"/>
              <w:jc w:val="both"/>
              <w:cnfStyle w:val="000000000000" w:firstRow="0" w:lastRow="0" w:firstColumn="0" w:lastColumn="0" w:oddVBand="0" w:evenVBand="0" w:oddHBand="0" w:evenHBand="0" w:firstRowFirstColumn="0" w:firstRowLastColumn="0" w:lastRowFirstColumn="0" w:lastRowLastColumn="0"/>
              <w:rPr>
                <w:sz w:val="18"/>
                <w:szCs w:val="16"/>
              </w:rPr>
            </w:pPr>
            <w:r w:rsidRPr="00956116">
              <w:rPr>
                <w:sz w:val="18"/>
                <w:szCs w:val="16"/>
              </w:rPr>
              <w:t xml:space="preserve">Se informa sobre el malestar que existe en la Facultad Nacional de Salud Pública con el proyecto Complejo de la Salud y se recuerda que ellos también tienen propuestas y cree que deberían participar de las decisiones. </w:t>
            </w:r>
            <w:r w:rsidRPr="00E12D26">
              <w:rPr>
                <w:sz w:val="18"/>
                <w:szCs w:val="16"/>
              </w:rPr>
              <w:t xml:space="preserve"> </w:t>
            </w:r>
          </w:p>
        </w:tc>
      </w:tr>
      <w:tr w:rsidR="007D5394" w:rsidRPr="002F4A7A" w14:paraId="3DD535D2" w14:textId="77777777" w:rsidTr="00952B19">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1122" w:type="dxa"/>
            <w:vAlign w:val="center"/>
          </w:tcPr>
          <w:p w14:paraId="20830C39" w14:textId="77777777" w:rsidR="007D5394" w:rsidRPr="004D754E" w:rsidRDefault="007D5394" w:rsidP="00952B19">
            <w:pPr>
              <w:jc w:val="center"/>
              <w:rPr>
                <w:b w:val="0"/>
                <w:color w:val="222222"/>
                <w:sz w:val="20"/>
                <w:szCs w:val="22"/>
              </w:rPr>
            </w:pPr>
            <w:r w:rsidRPr="004D754E">
              <w:rPr>
                <w:b w:val="0"/>
                <w:color w:val="222222"/>
                <w:sz w:val="20"/>
                <w:szCs w:val="22"/>
              </w:rPr>
              <w:t>367</w:t>
            </w:r>
          </w:p>
        </w:tc>
        <w:tc>
          <w:tcPr>
            <w:tcW w:w="1288" w:type="dxa"/>
            <w:vAlign w:val="center"/>
          </w:tcPr>
          <w:p w14:paraId="5E78BD66" w14:textId="77777777" w:rsidR="007D5394" w:rsidRPr="002F4A7A" w:rsidRDefault="007D5394" w:rsidP="00952B19">
            <w:pPr>
              <w:ind w:left="29"/>
              <w:jc w:val="center"/>
              <w:cnfStyle w:val="000000100000" w:firstRow="0" w:lastRow="0" w:firstColumn="0" w:lastColumn="0" w:oddVBand="0" w:evenVBand="0" w:oddHBand="1" w:evenHBand="0" w:firstRowFirstColumn="0" w:firstRowLastColumn="0" w:lastRowFirstColumn="0" w:lastRowLastColumn="0"/>
              <w:rPr>
                <w:color w:val="222222"/>
                <w:sz w:val="20"/>
                <w:szCs w:val="22"/>
              </w:rPr>
            </w:pPr>
            <w:r w:rsidRPr="002F4A7A">
              <w:rPr>
                <w:color w:val="222222"/>
                <w:sz w:val="20"/>
                <w:szCs w:val="22"/>
              </w:rPr>
              <w:t>Diciembre de 2017</w:t>
            </w:r>
          </w:p>
        </w:tc>
        <w:tc>
          <w:tcPr>
            <w:tcW w:w="8080" w:type="dxa"/>
            <w:vAlign w:val="center"/>
          </w:tcPr>
          <w:p w14:paraId="5906D1F6" w14:textId="77777777" w:rsidR="007D5394" w:rsidRDefault="007D5394" w:rsidP="00952B19">
            <w:pPr>
              <w:ind w:left="29"/>
              <w:jc w:val="both"/>
              <w:cnfStyle w:val="000000100000" w:firstRow="0" w:lastRow="0" w:firstColumn="0" w:lastColumn="0" w:oddVBand="0" w:evenVBand="0" w:oddHBand="1" w:evenHBand="0" w:firstRowFirstColumn="0" w:firstRowLastColumn="0" w:lastRowFirstColumn="0" w:lastRowLastColumn="0"/>
              <w:rPr>
                <w:sz w:val="18"/>
                <w:szCs w:val="16"/>
              </w:rPr>
            </w:pPr>
            <w:r w:rsidRPr="00E12D26">
              <w:rPr>
                <w:sz w:val="18"/>
                <w:szCs w:val="16"/>
              </w:rPr>
              <w:t>Informe de Gestión del Rector (2015-2017) Se invertirán 220 mil millones para el Complejo de la Salud con fuentes de la Gobernación de Antioquia, la Alcaldía de Medellín y el BID. En este proyecto participan nueve unidades académicas: las facultades Nacional de Salud Pública, Odontología, Enfermería, Medicina, Ciencias Agrarias, Ciencias Farmacéuticas y Alimentarias, el Instituto de Educación Física, y las escuelas de Nutrición y Dietética, de Microbiología.</w:t>
            </w:r>
          </w:p>
          <w:p w14:paraId="75B1B763" w14:textId="77777777" w:rsidR="007D5394" w:rsidRPr="00E12D26" w:rsidRDefault="007D5394" w:rsidP="00952B19">
            <w:pPr>
              <w:ind w:left="29"/>
              <w:jc w:val="both"/>
              <w:cnfStyle w:val="000000100000" w:firstRow="0" w:lastRow="0" w:firstColumn="0" w:lastColumn="0" w:oddVBand="0" w:evenVBand="0" w:oddHBand="1" w:evenHBand="0" w:firstRowFirstColumn="0" w:firstRowLastColumn="0" w:lastRowFirstColumn="0" w:lastRowLastColumn="0"/>
              <w:rPr>
                <w:sz w:val="18"/>
                <w:szCs w:val="16"/>
              </w:rPr>
            </w:pPr>
            <w:r w:rsidRPr="00E12D26">
              <w:rPr>
                <w:sz w:val="18"/>
                <w:szCs w:val="16"/>
              </w:rPr>
              <w:t>Sobre el Complejo de la Salud, se considera que el Rector lo sigue presentando como un proyecto ya concertado, cuando todavía está pendiente una discusión verdaderamente académica, que para el caso particular de la Facultad Nacional de Salud Pública tome en cuenta sus expectativas históricas</w:t>
            </w:r>
            <w:r>
              <w:rPr>
                <w:sz w:val="18"/>
                <w:szCs w:val="16"/>
              </w:rPr>
              <w:t>.</w:t>
            </w:r>
          </w:p>
        </w:tc>
      </w:tr>
      <w:tr w:rsidR="00BF1D3F" w:rsidRPr="002F4A7A" w14:paraId="45496E87" w14:textId="77777777" w:rsidTr="00952B19">
        <w:trPr>
          <w:trHeight w:val="75"/>
          <w:jc w:val="center"/>
        </w:trPr>
        <w:tc>
          <w:tcPr>
            <w:cnfStyle w:val="001000000000" w:firstRow="0" w:lastRow="0" w:firstColumn="1" w:lastColumn="0" w:oddVBand="0" w:evenVBand="0" w:oddHBand="0" w:evenHBand="0" w:firstRowFirstColumn="0" w:firstRowLastColumn="0" w:lastRowFirstColumn="0" w:lastRowLastColumn="0"/>
            <w:tcW w:w="1122" w:type="dxa"/>
            <w:vAlign w:val="center"/>
          </w:tcPr>
          <w:p w14:paraId="377E7FA6" w14:textId="77777777" w:rsidR="00BF1D3F" w:rsidRPr="004D754E" w:rsidRDefault="00BF1D3F" w:rsidP="00BF1D3F">
            <w:pPr>
              <w:jc w:val="center"/>
              <w:rPr>
                <w:b w:val="0"/>
                <w:sz w:val="20"/>
                <w:szCs w:val="22"/>
              </w:rPr>
            </w:pPr>
            <w:r w:rsidRPr="004D754E">
              <w:rPr>
                <w:b w:val="0"/>
                <w:color w:val="222222"/>
                <w:sz w:val="20"/>
                <w:szCs w:val="22"/>
              </w:rPr>
              <w:t>368</w:t>
            </w:r>
          </w:p>
        </w:tc>
        <w:tc>
          <w:tcPr>
            <w:tcW w:w="1288" w:type="dxa"/>
            <w:vAlign w:val="center"/>
          </w:tcPr>
          <w:p w14:paraId="0AF3CC4A" w14:textId="77777777" w:rsidR="00BF1D3F" w:rsidRPr="002F4A7A" w:rsidRDefault="00BF1D3F" w:rsidP="00BF1D3F">
            <w:pPr>
              <w:shd w:val="clear" w:color="auto" w:fill="FFFFFF"/>
              <w:spacing w:before="100" w:beforeAutospacing="1"/>
              <w:ind w:left="29"/>
              <w:jc w:val="center"/>
              <w:cnfStyle w:val="000000000000" w:firstRow="0" w:lastRow="0" w:firstColumn="0" w:lastColumn="0" w:oddVBand="0" w:evenVBand="0" w:oddHBand="0" w:evenHBand="0" w:firstRowFirstColumn="0" w:firstRowLastColumn="0" w:lastRowFirstColumn="0" w:lastRowLastColumn="0"/>
              <w:rPr>
                <w:sz w:val="20"/>
                <w:szCs w:val="22"/>
              </w:rPr>
            </w:pPr>
            <w:r w:rsidRPr="002F4A7A">
              <w:rPr>
                <w:color w:val="222222"/>
                <w:sz w:val="20"/>
                <w:szCs w:val="22"/>
              </w:rPr>
              <w:t>Enero de 2018</w:t>
            </w:r>
          </w:p>
        </w:tc>
        <w:tc>
          <w:tcPr>
            <w:tcW w:w="8080" w:type="dxa"/>
            <w:vAlign w:val="center"/>
          </w:tcPr>
          <w:p w14:paraId="4D53A5CF" w14:textId="77777777" w:rsidR="00956116" w:rsidRDefault="00956116" w:rsidP="00956116">
            <w:pPr>
              <w:jc w:val="both"/>
              <w:cnfStyle w:val="000000000000" w:firstRow="0" w:lastRow="0" w:firstColumn="0" w:lastColumn="0" w:oddVBand="0" w:evenVBand="0" w:oddHBand="0" w:evenHBand="0" w:firstRowFirstColumn="0" w:firstRowLastColumn="0" w:lastRowFirstColumn="0" w:lastRowLastColumn="0"/>
              <w:rPr>
                <w:color w:val="222222"/>
                <w:sz w:val="18"/>
                <w:szCs w:val="18"/>
              </w:rPr>
            </w:pPr>
            <w:r w:rsidRPr="00956116">
              <w:rPr>
                <w:color w:val="222222"/>
                <w:sz w:val="18"/>
                <w:szCs w:val="18"/>
              </w:rPr>
              <w:t xml:space="preserve">Se menciona que, si bien se han explicado con amplitud los aspectos financieros y de diseño del proyecto, no se ha abordado el componente educativo y se explica que los proyectos académicos y físico espaciales comenzaron a ser formulados a la par. </w:t>
            </w:r>
          </w:p>
          <w:p w14:paraId="10A49CCC" w14:textId="674496A2" w:rsidR="00956116" w:rsidRPr="00956116" w:rsidRDefault="00956116" w:rsidP="00956116">
            <w:pPr>
              <w:jc w:val="both"/>
              <w:cnfStyle w:val="000000000000" w:firstRow="0" w:lastRow="0" w:firstColumn="0" w:lastColumn="0" w:oddVBand="0" w:evenVBand="0" w:oddHBand="0" w:evenHBand="0" w:firstRowFirstColumn="0" w:firstRowLastColumn="0" w:lastRowFirstColumn="0" w:lastRowLastColumn="0"/>
              <w:rPr>
                <w:color w:val="222222"/>
                <w:sz w:val="18"/>
                <w:szCs w:val="18"/>
              </w:rPr>
            </w:pPr>
            <w:r w:rsidRPr="00956116">
              <w:rPr>
                <w:color w:val="222222"/>
                <w:sz w:val="18"/>
                <w:szCs w:val="18"/>
              </w:rPr>
              <w:t xml:space="preserve">Se expresa que la Facultad Nacional de Salud Pública cuenta con cerca de 55 años, esto es, con un conocimiento valioso que, a juicio de esa unidad académica, con el proyecto, podría diluirse. Dicha comunidad ha buscado ser escuchada; pero la dirección central se ha mostrado indiferente. </w:t>
            </w:r>
          </w:p>
          <w:p w14:paraId="5D9C9C91" w14:textId="66D1D1A2" w:rsidR="00956116" w:rsidRPr="00956116" w:rsidRDefault="00617B02" w:rsidP="00956116">
            <w:pPr>
              <w:jc w:val="both"/>
              <w:cnfStyle w:val="000000000000" w:firstRow="0" w:lastRow="0" w:firstColumn="0" w:lastColumn="0" w:oddVBand="0" w:evenVBand="0" w:oddHBand="0" w:evenHBand="0" w:firstRowFirstColumn="0" w:firstRowLastColumn="0" w:lastRowFirstColumn="0" w:lastRowLastColumn="0"/>
              <w:rPr>
                <w:color w:val="222222"/>
                <w:sz w:val="18"/>
                <w:szCs w:val="18"/>
              </w:rPr>
            </w:pPr>
            <w:r>
              <w:rPr>
                <w:color w:val="222222"/>
                <w:sz w:val="18"/>
                <w:szCs w:val="18"/>
              </w:rPr>
              <w:lastRenderedPageBreak/>
              <w:t>Se</w:t>
            </w:r>
            <w:r w:rsidR="00956116" w:rsidRPr="00956116">
              <w:rPr>
                <w:color w:val="222222"/>
                <w:sz w:val="18"/>
                <w:szCs w:val="18"/>
              </w:rPr>
              <w:t xml:space="preserve"> informa que el desarrollo del proyecto va bien, el Decano de la Facultad Nacional de Salud Pública informa todo lo contrario por cuanto se está desconociendo la historia de la unidad académica. Expresa que mientras no se dirima con la Facultad Nacional de Salud Pública la supuesta integración de saberes, no estará de acuerdo en hacer la aprobación de un crédito. Sugiere que se invite al Decano de la Facultad Nacional de Salud Pública para que intervenga sobre el proyecto. No se puede perder la historia y la experiencia de la unidad académica. </w:t>
            </w:r>
          </w:p>
          <w:p w14:paraId="1F45F189" w14:textId="3FA3D325" w:rsidR="00956116" w:rsidRPr="00956116" w:rsidRDefault="00956116" w:rsidP="00956116">
            <w:pPr>
              <w:jc w:val="both"/>
              <w:cnfStyle w:val="000000000000" w:firstRow="0" w:lastRow="0" w:firstColumn="0" w:lastColumn="0" w:oddVBand="0" w:evenVBand="0" w:oddHBand="0" w:evenHBand="0" w:firstRowFirstColumn="0" w:firstRowLastColumn="0" w:lastRowFirstColumn="0" w:lastRowLastColumn="0"/>
              <w:rPr>
                <w:color w:val="222222"/>
                <w:sz w:val="18"/>
                <w:szCs w:val="18"/>
              </w:rPr>
            </w:pPr>
            <w:r>
              <w:rPr>
                <w:color w:val="222222"/>
                <w:sz w:val="18"/>
                <w:szCs w:val="18"/>
              </w:rPr>
              <w:t>Se</w:t>
            </w:r>
            <w:r w:rsidRPr="00956116">
              <w:rPr>
                <w:color w:val="222222"/>
                <w:sz w:val="18"/>
                <w:szCs w:val="18"/>
              </w:rPr>
              <w:t xml:space="preserve"> aclara</w:t>
            </w:r>
            <w:r>
              <w:rPr>
                <w:color w:val="222222"/>
                <w:sz w:val="18"/>
                <w:szCs w:val="18"/>
              </w:rPr>
              <w:t xml:space="preserve"> que</w:t>
            </w:r>
            <w:r w:rsidRPr="00956116">
              <w:rPr>
                <w:color w:val="222222"/>
                <w:sz w:val="18"/>
                <w:szCs w:val="18"/>
              </w:rPr>
              <w:t xml:space="preserve"> este es un primer paso, ya que el proceso hasta el desembolso podría tomar hasta cinco meses. </w:t>
            </w:r>
          </w:p>
          <w:p w14:paraId="594FE29E" w14:textId="17F621E7" w:rsidR="00956116" w:rsidRPr="00956116" w:rsidRDefault="00956116" w:rsidP="00956116">
            <w:pPr>
              <w:jc w:val="both"/>
              <w:cnfStyle w:val="000000000000" w:firstRow="0" w:lastRow="0" w:firstColumn="0" w:lastColumn="0" w:oddVBand="0" w:evenVBand="0" w:oddHBand="0" w:evenHBand="0" w:firstRowFirstColumn="0" w:firstRowLastColumn="0" w:lastRowFirstColumn="0" w:lastRowLastColumn="0"/>
              <w:rPr>
                <w:color w:val="222222"/>
                <w:sz w:val="18"/>
                <w:szCs w:val="18"/>
              </w:rPr>
            </w:pPr>
            <w:r>
              <w:rPr>
                <w:color w:val="222222"/>
                <w:sz w:val="18"/>
                <w:szCs w:val="18"/>
              </w:rPr>
              <w:t>Se</w:t>
            </w:r>
            <w:r w:rsidRPr="00956116">
              <w:rPr>
                <w:color w:val="222222"/>
                <w:sz w:val="18"/>
                <w:szCs w:val="18"/>
              </w:rPr>
              <w:t xml:space="preserve"> expresa que el Complejo de la Salud estará financiado. Si se logra que el BID financie una parte del proyecto o que permita un crédito </w:t>
            </w:r>
            <w:r w:rsidRPr="00473DAE">
              <w:rPr>
                <w:i/>
                <w:color w:val="222222"/>
                <w:sz w:val="18"/>
                <w:szCs w:val="18"/>
              </w:rPr>
              <w:t>condonable</w:t>
            </w:r>
            <w:r w:rsidRPr="00956116">
              <w:rPr>
                <w:color w:val="222222"/>
                <w:sz w:val="18"/>
                <w:szCs w:val="18"/>
              </w:rPr>
              <w:t xml:space="preserve"> y que se vendan los bienes dispuestos para esto, la Universidad se endeudaría cada vez menos. Sin embargo, si aún la Universidad no pudiera contar con estas posibilidades, por estampilla, a través de un crédito por Findeter que ofrezca condiciones favorables de interés, el proyecto podría continuar. </w:t>
            </w:r>
          </w:p>
          <w:p w14:paraId="45F0E336" w14:textId="1C8FACC2" w:rsidR="00956116" w:rsidRPr="00956116" w:rsidRDefault="00956116" w:rsidP="00617B02">
            <w:pPr>
              <w:jc w:val="both"/>
              <w:cnfStyle w:val="000000000000" w:firstRow="0" w:lastRow="0" w:firstColumn="0" w:lastColumn="0" w:oddVBand="0" w:evenVBand="0" w:oddHBand="0" w:evenHBand="0" w:firstRowFirstColumn="0" w:firstRowLastColumn="0" w:lastRowFirstColumn="0" w:lastRowLastColumn="0"/>
              <w:rPr>
                <w:color w:val="222222"/>
                <w:sz w:val="18"/>
                <w:szCs w:val="18"/>
              </w:rPr>
            </w:pPr>
            <w:r>
              <w:rPr>
                <w:color w:val="222222"/>
                <w:sz w:val="18"/>
                <w:szCs w:val="18"/>
              </w:rPr>
              <w:t>Se aclara en términos jurídicos</w:t>
            </w:r>
            <w:r w:rsidRPr="00956116">
              <w:rPr>
                <w:color w:val="222222"/>
                <w:sz w:val="18"/>
                <w:szCs w:val="18"/>
              </w:rPr>
              <w:t xml:space="preserve"> que la autorización que se está solicitando para el Rector es para radicar una solicitud de un crédito donde le exigirán la au</w:t>
            </w:r>
            <w:r>
              <w:rPr>
                <w:color w:val="222222"/>
                <w:sz w:val="18"/>
                <w:szCs w:val="18"/>
              </w:rPr>
              <w:t>torización del Consejo Superior.</w:t>
            </w:r>
            <w:r w:rsidR="00617B02">
              <w:rPr>
                <w:color w:val="222222"/>
                <w:sz w:val="18"/>
                <w:szCs w:val="18"/>
              </w:rPr>
              <w:t xml:space="preserve"> Se expide la </w:t>
            </w:r>
            <w:r w:rsidRPr="00956116">
              <w:rPr>
                <w:b/>
                <w:color w:val="222222"/>
                <w:sz w:val="18"/>
                <w:szCs w:val="18"/>
              </w:rPr>
              <w:t>Resolución Superior 2237 de enero de 2018</w:t>
            </w:r>
            <w:r w:rsidRPr="00956116">
              <w:rPr>
                <w:color w:val="222222"/>
                <w:sz w:val="18"/>
                <w:szCs w:val="18"/>
              </w:rPr>
              <w:t>: Por la cual se autoriza al señor Rector para que celebre un contrato de crédito con el fin de financiar el inicio de las obras del proyecto Complejo de la Salud.</w:t>
            </w:r>
          </w:p>
        </w:tc>
      </w:tr>
      <w:tr w:rsidR="00BF1D3F" w:rsidRPr="002F4A7A" w14:paraId="144DCE1C" w14:textId="77777777" w:rsidTr="00952B19">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122" w:type="dxa"/>
            <w:vAlign w:val="center"/>
          </w:tcPr>
          <w:p w14:paraId="2D21F7B4" w14:textId="77777777" w:rsidR="00BF1D3F" w:rsidRPr="004D754E" w:rsidRDefault="00BF1D3F" w:rsidP="00BF1D3F">
            <w:pPr>
              <w:jc w:val="center"/>
              <w:rPr>
                <w:b w:val="0"/>
                <w:color w:val="222222"/>
                <w:sz w:val="20"/>
                <w:szCs w:val="22"/>
              </w:rPr>
            </w:pPr>
            <w:r w:rsidRPr="004D754E">
              <w:rPr>
                <w:b w:val="0"/>
                <w:color w:val="222222"/>
                <w:sz w:val="20"/>
                <w:szCs w:val="22"/>
              </w:rPr>
              <w:lastRenderedPageBreak/>
              <w:t>369</w:t>
            </w:r>
          </w:p>
        </w:tc>
        <w:tc>
          <w:tcPr>
            <w:tcW w:w="1288" w:type="dxa"/>
            <w:vAlign w:val="center"/>
          </w:tcPr>
          <w:p w14:paraId="0B2872E2" w14:textId="77777777" w:rsidR="00BF1D3F" w:rsidRPr="002F4A7A" w:rsidRDefault="00BF1D3F" w:rsidP="00BF1D3F">
            <w:pPr>
              <w:ind w:left="29"/>
              <w:jc w:val="center"/>
              <w:cnfStyle w:val="000000100000" w:firstRow="0" w:lastRow="0" w:firstColumn="0" w:lastColumn="0" w:oddVBand="0" w:evenVBand="0" w:oddHBand="1" w:evenHBand="0" w:firstRowFirstColumn="0" w:firstRowLastColumn="0" w:lastRowFirstColumn="0" w:lastRowLastColumn="0"/>
              <w:rPr>
                <w:color w:val="222222"/>
                <w:sz w:val="20"/>
                <w:szCs w:val="22"/>
              </w:rPr>
            </w:pPr>
            <w:r w:rsidRPr="002F4A7A">
              <w:rPr>
                <w:color w:val="222222"/>
                <w:sz w:val="20"/>
                <w:szCs w:val="22"/>
              </w:rPr>
              <w:t>Diciembre de 2017</w:t>
            </w:r>
          </w:p>
        </w:tc>
        <w:tc>
          <w:tcPr>
            <w:tcW w:w="8080" w:type="dxa"/>
            <w:vAlign w:val="center"/>
          </w:tcPr>
          <w:p w14:paraId="29CC0E50" w14:textId="7D9EE3AA" w:rsidR="00BF1D3F" w:rsidRPr="005A1051" w:rsidRDefault="00617B02" w:rsidP="004F7340">
            <w:pPr>
              <w:jc w:val="both"/>
              <w:cnfStyle w:val="000000100000" w:firstRow="0" w:lastRow="0" w:firstColumn="0" w:lastColumn="0" w:oddVBand="0" w:evenVBand="0" w:oddHBand="1" w:evenHBand="0" w:firstRowFirstColumn="0" w:firstRowLastColumn="0" w:lastRowFirstColumn="0" w:lastRowLastColumn="0"/>
              <w:rPr>
                <w:color w:val="FF0000"/>
                <w:sz w:val="18"/>
                <w:szCs w:val="22"/>
                <w:highlight w:val="yellow"/>
              </w:rPr>
            </w:pPr>
            <w:r>
              <w:rPr>
                <w:color w:val="222222"/>
                <w:sz w:val="18"/>
                <w:szCs w:val="18"/>
              </w:rPr>
              <w:t xml:space="preserve">Se menciona que </w:t>
            </w:r>
            <w:r w:rsidRPr="00617B02">
              <w:rPr>
                <w:color w:val="222222"/>
                <w:sz w:val="18"/>
                <w:szCs w:val="18"/>
              </w:rPr>
              <w:t>ya comenzó con el</w:t>
            </w:r>
            <w:r>
              <w:rPr>
                <w:color w:val="222222"/>
                <w:sz w:val="18"/>
                <w:szCs w:val="18"/>
              </w:rPr>
              <w:t xml:space="preserve"> </w:t>
            </w:r>
            <w:r w:rsidRPr="00617B02">
              <w:rPr>
                <w:color w:val="222222"/>
                <w:sz w:val="18"/>
                <w:szCs w:val="18"/>
              </w:rPr>
              <w:t>Complejo de la Salud como proyecto que es el primer paso para la gran</w:t>
            </w:r>
            <w:r>
              <w:rPr>
                <w:color w:val="222222"/>
                <w:sz w:val="18"/>
                <w:szCs w:val="18"/>
              </w:rPr>
              <w:t xml:space="preserve"> </w:t>
            </w:r>
            <w:r w:rsidRPr="00617B02">
              <w:rPr>
                <w:color w:val="222222"/>
                <w:sz w:val="18"/>
                <w:szCs w:val="18"/>
              </w:rPr>
              <w:t>ampliación que requiere la Universidad y el cual le permitirá a la Universidad</w:t>
            </w:r>
            <w:r>
              <w:rPr>
                <w:color w:val="222222"/>
                <w:sz w:val="18"/>
                <w:szCs w:val="18"/>
              </w:rPr>
              <w:t xml:space="preserve"> </w:t>
            </w:r>
            <w:r w:rsidRPr="00617B02">
              <w:rPr>
                <w:color w:val="222222"/>
                <w:sz w:val="18"/>
                <w:szCs w:val="18"/>
              </w:rPr>
              <w:t>integrarse de una mejor manera a la sociedad</w:t>
            </w:r>
            <w:r>
              <w:rPr>
                <w:color w:val="222222"/>
                <w:sz w:val="18"/>
                <w:szCs w:val="18"/>
              </w:rPr>
              <w:t xml:space="preserve">. </w:t>
            </w:r>
            <w:r w:rsidRPr="00617B02">
              <w:rPr>
                <w:color w:val="222222"/>
                <w:sz w:val="18"/>
                <w:szCs w:val="18"/>
              </w:rPr>
              <w:t xml:space="preserve">Respecto de la financiación </w:t>
            </w:r>
            <w:r w:rsidR="00D1613D">
              <w:rPr>
                <w:color w:val="222222"/>
                <w:sz w:val="18"/>
                <w:szCs w:val="18"/>
              </w:rPr>
              <w:t xml:space="preserve">se informa </w:t>
            </w:r>
            <w:r w:rsidR="00460E0E">
              <w:rPr>
                <w:color w:val="222222"/>
                <w:sz w:val="18"/>
                <w:szCs w:val="18"/>
              </w:rPr>
              <w:t>que,</w:t>
            </w:r>
            <w:r w:rsidR="00D1613D">
              <w:rPr>
                <w:color w:val="222222"/>
                <w:sz w:val="18"/>
                <w:szCs w:val="18"/>
              </w:rPr>
              <w:t xml:space="preserve"> s</w:t>
            </w:r>
            <w:r w:rsidRPr="00617B02">
              <w:rPr>
                <w:color w:val="222222"/>
                <w:sz w:val="18"/>
                <w:szCs w:val="18"/>
              </w:rPr>
              <w:t>i bien la Universidad tiene un</w:t>
            </w:r>
            <w:r w:rsidR="00D1613D">
              <w:rPr>
                <w:color w:val="222222"/>
                <w:sz w:val="18"/>
                <w:szCs w:val="18"/>
              </w:rPr>
              <w:t xml:space="preserve"> </w:t>
            </w:r>
            <w:r w:rsidRPr="00617B02">
              <w:rPr>
                <w:color w:val="222222"/>
                <w:sz w:val="18"/>
                <w:szCs w:val="18"/>
              </w:rPr>
              <w:t xml:space="preserve">déficit, en </w:t>
            </w:r>
            <w:r w:rsidR="004F7340">
              <w:rPr>
                <w:color w:val="222222"/>
                <w:sz w:val="18"/>
                <w:szCs w:val="18"/>
              </w:rPr>
              <w:t>la actual administración</w:t>
            </w:r>
            <w:r w:rsidRPr="00617B02">
              <w:rPr>
                <w:color w:val="222222"/>
                <w:sz w:val="18"/>
                <w:szCs w:val="18"/>
              </w:rPr>
              <w:t xml:space="preserve"> se han conseguido nuevos recursos y se ha hecho</w:t>
            </w:r>
            <w:r w:rsidR="00D1613D">
              <w:rPr>
                <w:color w:val="222222"/>
                <w:sz w:val="18"/>
                <w:szCs w:val="18"/>
              </w:rPr>
              <w:t xml:space="preserve"> </w:t>
            </w:r>
            <w:r w:rsidRPr="00617B02">
              <w:rPr>
                <w:color w:val="222222"/>
                <w:sz w:val="18"/>
                <w:szCs w:val="18"/>
              </w:rPr>
              <w:t>una pedagogía importante en el Congreso de la República respecto de las</w:t>
            </w:r>
            <w:r w:rsidR="00D1613D">
              <w:rPr>
                <w:color w:val="222222"/>
                <w:sz w:val="18"/>
                <w:szCs w:val="18"/>
              </w:rPr>
              <w:t xml:space="preserve"> </w:t>
            </w:r>
            <w:r w:rsidRPr="00617B02">
              <w:rPr>
                <w:color w:val="222222"/>
                <w:sz w:val="18"/>
                <w:szCs w:val="18"/>
              </w:rPr>
              <w:t>necesidade</w:t>
            </w:r>
            <w:r w:rsidR="00D1613D">
              <w:rPr>
                <w:color w:val="222222"/>
                <w:sz w:val="18"/>
                <w:szCs w:val="18"/>
              </w:rPr>
              <w:t>s de las universidades públicas y d</w:t>
            </w:r>
            <w:r w:rsidRPr="00617B02">
              <w:rPr>
                <w:color w:val="222222"/>
                <w:sz w:val="18"/>
                <w:szCs w:val="18"/>
              </w:rPr>
              <w:t>estaca que, gracias al Ministerio de</w:t>
            </w:r>
            <w:r w:rsidR="00D1613D">
              <w:rPr>
                <w:color w:val="222222"/>
                <w:sz w:val="18"/>
                <w:szCs w:val="18"/>
              </w:rPr>
              <w:t xml:space="preserve"> </w:t>
            </w:r>
            <w:r w:rsidRPr="00617B02">
              <w:rPr>
                <w:color w:val="222222"/>
                <w:sz w:val="18"/>
                <w:szCs w:val="18"/>
              </w:rPr>
              <w:t>Educación, se han conformado comisiones para obtener recursos a través de la</w:t>
            </w:r>
            <w:r w:rsidR="00D1613D">
              <w:rPr>
                <w:color w:val="222222"/>
                <w:sz w:val="18"/>
                <w:szCs w:val="18"/>
              </w:rPr>
              <w:t xml:space="preserve"> </w:t>
            </w:r>
            <w:r w:rsidRPr="00617B02">
              <w:rPr>
                <w:color w:val="222222"/>
                <w:sz w:val="18"/>
                <w:szCs w:val="18"/>
              </w:rPr>
              <w:t>reforma de los artículos 86 y 87 de la Ley 30</w:t>
            </w:r>
            <w:r w:rsidR="00D1613D">
              <w:rPr>
                <w:color w:val="222222"/>
                <w:sz w:val="18"/>
                <w:szCs w:val="18"/>
              </w:rPr>
              <w:t>.</w:t>
            </w:r>
          </w:p>
        </w:tc>
      </w:tr>
      <w:tr w:rsidR="00BF1D3F" w:rsidRPr="004511FF" w14:paraId="2269E3A2" w14:textId="77777777" w:rsidTr="00952B19">
        <w:trPr>
          <w:trHeight w:val="128"/>
          <w:jc w:val="center"/>
        </w:trPr>
        <w:tc>
          <w:tcPr>
            <w:cnfStyle w:val="001000000000" w:firstRow="0" w:lastRow="0" w:firstColumn="1" w:lastColumn="0" w:oddVBand="0" w:evenVBand="0" w:oddHBand="0" w:evenHBand="0" w:firstRowFirstColumn="0" w:firstRowLastColumn="0" w:lastRowFirstColumn="0" w:lastRowLastColumn="0"/>
            <w:tcW w:w="1122" w:type="dxa"/>
            <w:vAlign w:val="center"/>
          </w:tcPr>
          <w:p w14:paraId="07E8C0BF" w14:textId="77777777" w:rsidR="00BF1D3F" w:rsidRPr="004D754E" w:rsidRDefault="00BF1D3F" w:rsidP="00BF1D3F">
            <w:pPr>
              <w:jc w:val="center"/>
              <w:rPr>
                <w:b w:val="0"/>
                <w:color w:val="222222"/>
                <w:sz w:val="20"/>
                <w:szCs w:val="22"/>
              </w:rPr>
            </w:pPr>
            <w:r w:rsidRPr="004D754E">
              <w:rPr>
                <w:b w:val="0"/>
                <w:color w:val="222222"/>
                <w:sz w:val="20"/>
                <w:szCs w:val="22"/>
              </w:rPr>
              <w:t>370</w:t>
            </w:r>
          </w:p>
        </w:tc>
        <w:tc>
          <w:tcPr>
            <w:tcW w:w="1288" w:type="dxa"/>
            <w:vAlign w:val="center"/>
          </w:tcPr>
          <w:p w14:paraId="07371830" w14:textId="77777777" w:rsidR="00BF1D3F" w:rsidRPr="002F4A7A" w:rsidRDefault="00BF1D3F" w:rsidP="00BF1D3F">
            <w:pPr>
              <w:shd w:val="clear" w:color="auto" w:fill="FFFFFF"/>
              <w:spacing w:before="100" w:beforeAutospacing="1"/>
              <w:ind w:left="29"/>
              <w:jc w:val="center"/>
              <w:cnfStyle w:val="000000000000" w:firstRow="0" w:lastRow="0" w:firstColumn="0" w:lastColumn="0" w:oddVBand="0" w:evenVBand="0" w:oddHBand="0" w:evenHBand="0" w:firstRowFirstColumn="0" w:firstRowLastColumn="0" w:lastRowFirstColumn="0" w:lastRowLastColumn="0"/>
              <w:rPr>
                <w:color w:val="222222"/>
                <w:sz w:val="20"/>
                <w:szCs w:val="22"/>
              </w:rPr>
            </w:pPr>
            <w:r w:rsidRPr="002F4A7A">
              <w:rPr>
                <w:color w:val="222222"/>
                <w:sz w:val="20"/>
                <w:szCs w:val="22"/>
              </w:rPr>
              <w:t>Marzo de 2018</w:t>
            </w:r>
          </w:p>
        </w:tc>
        <w:tc>
          <w:tcPr>
            <w:tcW w:w="8080" w:type="dxa"/>
            <w:vAlign w:val="center"/>
          </w:tcPr>
          <w:p w14:paraId="49ED2E5A" w14:textId="77777777" w:rsidR="00BF1D3F" w:rsidRDefault="004F7340" w:rsidP="0060717C">
            <w:pPr>
              <w:jc w:val="both"/>
              <w:cnfStyle w:val="000000000000" w:firstRow="0" w:lastRow="0" w:firstColumn="0" w:lastColumn="0" w:oddVBand="0" w:evenVBand="0" w:oddHBand="0" w:evenHBand="0" w:firstRowFirstColumn="0" w:firstRowLastColumn="0" w:lastRowFirstColumn="0" w:lastRowLastColumn="0"/>
              <w:rPr>
                <w:color w:val="222222"/>
                <w:sz w:val="18"/>
                <w:szCs w:val="18"/>
              </w:rPr>
            </w:pPr>
            <w:r>
              <w:rPr>
                <w:color w:val="222222"/>
                <w:sz w:val="18"/>
                <w:szCs w:val="18"/>
              </w:rPr>
              <w:t>Se informa</w:t>
            </w:r>
            <w:r w:rsidR="0060717C">
              <w:rPr>
                <w:color w:val="222222"/>
                <w:sz w:val="18"/>
                <w:szCs w:val="18"/>
              </w:rPr>
              <w:t xml:space="preserve"> sobre</w:t>
            </w:r>
            <w:r>
              <w:rPr>
                <w:color w:val="222222"/>
                <w:sz w:val="18"/>
                <w:szCs w:val="18"/>
              </w:rPr>
              <w:t xml:space="preserve"> el movimiento presentado en la Facultad Nacional de Salud P</w:t>
            </w:r>
            <w:r w:rsidR="0060717C">
              <w:rPr>
                <w:color w:val="222222"/>
                <w:sz w:val="18"/>
                <w:szCs w:val="18"/>
              </w:rPr>
              <w:t>ública,</w:t>
            </w:r>
            <w:r w:rsidRPr="0060717C">
              <w:rPr>
                <w:color w:val="222222"/>
                <w:sz w:val="18"/>
                <w:szCs w:val="18"/>
              </w:rPr>
              <w:t xml:space="preserve"> expresando el rechazo al proyecto Complejo de la</w:t>
            </w:r>
            <w:r w:rsidR="0060717C">
              <w:rPr>
                <w:color w:val="222222"/>
                <w:sz w:val="18"/>
                <w:szCs w:val="18"/>
              </w:rPr>
              <w:t xml:space="preserve"> Salud.</w:t>
            </w:r>
          </w:p>
          <w:p w14:paraId="53E5376B" w14:textId="5EDB0808" w:rsidR="0060717C" w:rsidRDefault="0060717C" w:rsidP="004511FF">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18"/>
                <w:szCs w:val="18"/>
                <w:lang w:eastAsia="es-CO"/>
              </w:rPr>
            </w:pPr>
            <w:r w:rsidRPr="004511FF">
              <w:rPr>
                <w:rFonts w:ascii="Times New Roman" w:eastAsia="Times New Roman" w:hAnsi="Times New Roman" w:cs="Times New Roman"/>
                <w:color w:val="222222"/>
                <w:sz w:val="18"/>
                <w:szCs w:val="18"/>
                <w:lang w:eastAsia="es-CO"/>
              </w:rPr>
              <w:t xml:space="preserve">Se </w:t>
            </w:r>
            <w:r w:rsidRPr="0060717C">
              <w:rPr>
                <w:rFonts w:ascii="Times New Roman" w:eastAsia="Times New Roman" w:hAnsi="Times New Roman" w:cs="Times New Roman"/>
                <w:color w:val="222222"/>
                <w:sz w:val="18"/>
                <w:szCs w:val="18"/>
                <w:lang w:eastAsia="es-CO"/>
              </w:rPr>
              <w:t>informa sobre la visita de la misión del BID para presentar los avances del proyecto Complejo de la Salud y fue invitado el nuevo Rector designado quien se comprometió con la Alcaldía y</w:t>
            </w:r>
            <w:r w:rsidR="004511FF">
              <w:rPr>
                <w:rFonts w:ascii="Times New Roman" w:eastAsia="Times New Roman" w:hAnsi="Times New Roman" w:cs="Times New Roman"/>
                <w:color w:val="222222"/>
                <w:sz w:val="18"/>
                <w:szCs w:val="18"/>
                <w:lang w:eastAsia="es-CO"/>
              </w:rPr>
              <w:t xml:space="preserve"> </w:t>
            </w:r>
            <w:r w:rsidRPr="0060717C">
              <w:rPr>
                <w:rFonts w:ascii="Times New Roman" w:eastAsia="Times New Roman" w:hAnsi="Times New Roman" w:cs="Times New Roman"/>
                <w:color w:val="222222"/>
                <w:sz w:val="18"/>
                <w:szCs w:val="18"/>
                <w:lang w:eastAsia="es-CO"/>
              </w:rPr>
              <w:t>con la junta asesora del proyecto a apoyar el Complejo de la Salud</w:t>
            </w:r>
            <w:r w:rsidR="004511FF">
              <w:rPr>
                <w:rFonts w:ascii="Times New Roman" w:eastAsia="Times New Roman" w:hAnsi="Times New Roman" w:cs="Times New Roman"/>
                <w:color w:val="222222"/>
                <w:sz w:val="18"/>
                <w:szCs w:val="18"/>
                <w:lang w:eastAsia="es-CO"/>
              </w:rPr>
              <w:t>.</w:t>
            </w:r>
          </w:p>
          <w:p w14:paraId="6BD38903" w14:textId="420BC19F" w:rsidR="004511FF" w:rsidRDefault="004511FF" w:rsidP="004511FF">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18"/>
                <w:szCs w:val="18"/>
                <w:lang w:eastAsia="es-CO"/>
              </w:rPr>
            </w:pPr>
            <w:r>
              <w:rPr>
                <w:rFonts w:ascii="Times New Roman" w:eastAsia="Times New Roman" w:hAnsi="Times New Roman" w:cs="Times New Roman"/>
                <w:color w:val="222222"/>
                <w:sz w:val="18"/>
                <w:szCs w:val="18"/>
                <w:lang w:eastAsia="es-CO"/>
              </w:rPr>
              <w:t xml:space="preserve">Sobre el empalme se menciona la entrega de los proyectos estratégicos incluido el complejo de la salud </w:t>
            </w:r>
            <w:r w:rsidRPr="004511FF">
              <w:rPr>
                <w:rFonts w:ascii="Times New Roman" w:eastAsia="Times New Roman" w:hAnsi="Times New Roman" w:cs="Times New Roman"/>
                <w:color w:val="222222"/>
                <w:sz w:val="18"/>
                <w:szCs w:val="18"/>
                <w:lang w:eastAsia="es-CO"/>
              </w:rPr>
              <w:t xml:space="preserve">e informa que se mostró receptivo y comprometido con </w:t>
            </w:r>
            <w:r>
              <w:rPr>
                <w:rFonts w:ascii="Times New Roman" w:eastAsia="Times New Roman" w:hAnsi="Times New Roman" w:cs="Times New Roman"/>
                <w:color w:val="222222"/>
                <w:sz w:val="18"/>
                <w:szCs w:val="18"/>
                <w:lang w:eastAsia="es-CO"/>
              </w:rPr>
              <w:t>seguir a</w:t>
            </w:r>
            <w:r w:rsidRPr="004511FF">
              <w:rPr>
                <w:rFonts w:ascii="Times New Roman" w:eastAsia="Times New Roman" w:hAnsi="Times New Roman" w:cs="Times New Roman"/>
                <w:color w:val="222222"/>
                <w:sz w:val="18"/>
                <w:szCs w:val="18"/>
                <w:lang w:eastAsia="es-CO"/>
              </w:rPr>
              <w:t>poyándolos. Indica que sostuvo una reunión con los diseñadores del Complejo</w:t>
            </w:r>
            <w:r>
              <w:rPr>
                <w:rFonts w:ascii="Times New Roman" w:eastAsia="Times New Roman" w:hAnsi="Times New Roman" w:cs="Times New Roman"/>
                <w:color w:val="222222"/>
                <w:sz w:val="18"/>
                <w:szCs w:val="18"/>
                <w:lang w:eastAsia="es-CO"/>
              </w:rPr>
              <w:t xml:space="preserve"> </w:t>
            </w:r>
            <w:r w:rsidRPr="004511FF">
              <w:rPr>
                <w:rFonts w:ascii="Times New Roman" w:eastAsia="Times New Roman" w:hAnsi="Times New Roman" w:cs="Times New Roman"/>
                <w:color w:val="222222"/>
                <w:sz w:val="18"/>
                <w:szCs w:val="18"/>
                <w:lang w:eastAsia="es-CO"/>
              </w:rPr>
              <w:t xml:space="preserve">de la Salud para conocer una propuesta de sectorización del Complejo </w:t>
            </w:r>
            <w:r w:rsidR="00460E0E" w:rsidRPr="004511FF">
              <w:rPr>
                <w:rFonts w:ascii="Times New Roman" w:eastAsia="Times New Roman" w:hAnsi="Times New Roman" w:cs="Times New Roman"/>
                <w:color w:val="222222"/>
                <w:sz w:val="18"/>
                <w:szCs w:val="18"/>
                <w:lang w:eastAsia="es-CO"/>
              </w:rPr>
              <w:t>de la</w:t>
            </w:r>
            <w:r w:rsidRPr="004511FF">
              <w:rPr>
                <w:rFonts w:ascii="Times New Roman" w:eastAsia="Times New Roman" w:hAnsi="Times New Roman" w:cs="Times New Roman"/>
                <w:color w:val="222222"/>
                <w:sz w:val="18"/>
                <w:szCs w:val="18"/>
                <w:lang w:eastAsia="es-CO"/>
              </w:rPr>
              <w:t xml:space="preserve"> Salud</w:t>
            </w:r>
            <w:r>
              <w:rPr>
                <w:rFonts w:ascii="Times New Roman" w:eastAsia="Times New Roman" w:hAnsi="Times New Roman" w:cs="Times New Roman"/>
                <w:color w:val="222222"/>
                <w:sz w:val="18"/>
                <w:szCs w:val="18"/>
                <w:lang w:eastAsia="es-CO"/>
              </w:rPr>
              <w:t>.</w:t>
            </w:r>
          </w:p>
          <w:p w14:paraId="721A72D9" w14:textId="5FAEFA34" w:rsidR="004511FF" w:rsidRDefault="004511FF" w:rsidP="004511FF">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18"/>
                <w:szCs w:val="18"/>
                <w:lang w:eastAsia="es-CO"/>
              </w:rPr>
            </w:pPr>
            <w:r w:rsidRPr="004511FF">
              <w:rPr>
                <w:rFonts w:ascii="Times New Roman" w:eastAsia="Times New Roman" w:hAnsi="Times New Roman" w:cs="Times New Roman"/>
                <w:color w:val="222222"/>
                <w:sz w:val="18"/>
                <w:szCs w:val="18"/>
                <w:lang w:eastAsia="es-CO"/>
              </w:rPr>
              <w:t>Se logró tener el aval de los directivos académicos para avanzar en los detalles</w:t>
            </w:r>
            <w:r>
              <w:rPr>
                <w:rFonts w:ascii="Times New Roman" w:eastAsia="Times New Roman" w:hAnsi="Times New Roman" w:cs="Times New Roman"/>
                <w:color w:val="222222"/>
                <w:sz w:val="18"/>
                <w:szCs w:val="18"/>
                <w:lang w:eastAsia="es-CO"/>
              </w:rPr>
              <w:t xml:space="preserve"> </w:t>
            </w:r>
            <w:r w:rsidRPr="004511FF">
              <w:rPr>
                <w:rFonts w:ascii="Times New Roman" w:eastAsia="Times New Roman" w:hAnsi="Times New Roman" w:cs="Times New Roman"/>
                <w:color w:val="222222"/>
                <w:sz w:val="18"/>
                <w:szCs w:val="18"/>
                <w:lang w:eastAsia="es-CO"/>
              </w:rPr>
              <w:t xml:space="preserve">de la infraestructura física de los diseños de los componentes </w:t>
            </w:r>
            <w:r w:rsidR="00460E0E" w:rsidRPr="004511FF">
              <w:rPr>
                <w:rFonts w:ascii="Times New Roman" w:eastAsia="Times New Roman" w:hAnsi="Times New Roman" w:cs="Times New Roman"/>
                <w:color w:val="222222"/>
                <w:sz w:val="18"/>
                <w:szCs w:val="18"/>
                <w:lang w:eastAsia="es-CO"/>
              </w:rPr>
              <w:t>académico</w:t>
            </w:r>
            <w:r w:rsidR="00460E0E">
              <w:rPr>
                <w:rFonts w:ascii="Times New Roman" w:eastAsia="Times New Roman" w:hAnsi="Times New Roman" w:cs="Times New Roman"/>
                <w:color w:val="222222"/>
                <w:sz w:val="18"/>
                <w:szCs w:val="18"/>
                <w:lang w:eastAsia="es-CO"/>
              </w:rPr>
              <w:t>-administrativos</w:t>
            </w:r>
            <w:r w:rsidRPr="004511FF">
              <w:rPr>
                <w:rFonts w:ascii="Times New Roman" w:eastAsia="Times New Roman" w:hAnsi="Times New Roman" w:cs="Times New Roman"/>
                <w:color w:val="222222"/>
                <w:sz w:val="18"/>
                <w:szCs w:val="18"/>
                <w:lang w:eastAsia="es-CO"/>
              </w:rPr>
              <w:t xml:space="preserve"> y de los laboratorios. Añade que el BID estuvo interesado en</w:t>
            </w:r>
            <w:r>
              <w:rPr>
                <w:rFonts w:ascii="Times New Roman" w:eastAsia="Times New Roman" w:hAnsi="Times New Roman" w:cs="Times New Roman"/>
                <w:color w:val="222222"/>
                <w:sz w:val="18"/>
                <w:szCs w:val="18"/>
                <w:lang w:eastAsia="es-CO"/>
              </w:rPr>
              <w:t xml:space="preserve"> </w:t>
            </w:r>
            <w:r w:rsidRPr="004511FF">
              <w:rPr>
                <w:rFonts w:ascii="Times New Roman" w:eastAsia="Times New Roman" w:hAnsi="Times New Roman" w:cs="Times New Roman"/>
                <w:color w:val="222222"/>
                <w:sz w:val="18"/>
                <w:szCs w:val="18"/>
                <w:lang w:eastAsia="es-CO"/>
              </w:rPr>
              <w:t>conocer el compromiso de la Alcaldía de Medellín con el proyecto, y el alcalde</w:t>
            </w:r>
            <w:r>
              <w:rPr>
                <w:rFonts w:ascii="Times New Roman" w:eastAsia="Times New Roman" w:hAnsi="Times New Roman" w:cs="Times New Roman"/>
                <w:color w:val="222222"/>
                <w:sz w:val="18"/>
                <w:szCs w:val="18"/>
                <w:lang w:eastAsia="es-CO"/>
              </w:rPr>
              <w:t xml:space="preserve"> </w:t>
            </w:r>
            <w:r w:rsidRPr="004511FF">
              <w:rPr>
                <w:rFonts w:ascii="Times New Roman" w:eastAsia="Times New Roman" w:hAnsi="Times New Roman" w:cs="Times New Roman"/>
                <w:color w:val="222222"/>
                <w:sz w:val="18"/>
                <w:szCs w:val="18"/>
                <w:lang w:eastAsia="es-CO"/>
              </w:rPr>
              <w:t>comprometió a apoyar totalmente el proyecto con</w:t>
            </w:r>
            <w:r>
              <w:rPr>
                <w:rFonts w:ascii="Times New Roman" w:eastAsia="Times New Roman" w:hAnsi="Times New Roman" w:cs="Times New Roman"/>
                <w:color w:val="222222"/>
                <w:sz w:val="18"/>
                <w:szCs w:val="18"/>
                <w:lang w:eastAsia="es-CO"/>
              </w:rPr>
              <w:t xml:space="preserve"> </w:t>
            </w:r>
            <w:r w:rsidRPr="004511FF">
              <w:rPr>
                <w:rFonts w:ascii="Times New Roman" w:eastAsia="Times New Roman" w:hAnsi="Times New Roman" w:cs="Times New Roman"/>
                <w:color w:val="222222"/>
                <w:sz w:val="18"/>
                <w:szCs w:val="18"/>
                <w:lang w:eastAsia="es-CO"/>
              </w:rPr>
              <w:t>recursos de vigencias futuras de los traslados de EPM cuando empiece a llegar</w:t>
            </w:r>
            <w:r>
              <w:rPr>
                <w:rFonts w:ascii="Times New Roman" w:eastAsia="Times New Roman" w:hAnsi="Times New Roman" w:cs="Times New Roman"/>
                <w:color w:val="222222"/>
                <w:sz w:val="18"/>
                <w:szCs w:val="18"/>
                <w:lang w:eastAsia="es-CO"/>
              </w:rPr>
              <w:t xml:space="preserve"> </w:t>
            </w:r>
            <w:r w:rsidRPr="004511FF">
              <w:rPr>
                <w:rFonts w:ascii="Times New Roman" w:eastAsia="Times New Roman" w:hAnsi="Times New Roman" w:cs="Times New Roman"/>
                <w:color w:val="222222"/>
                <w:sz w:val="18"/>
                <w:szCs w:val="18"/>
                <w:lang w:eastAsia="es-CO"/>
              </w:rPr>
              <w:t xml:space="preserve">el flujo de </w:t>
            </w:r>
            <w:r w:rsidR="003F2206">
              <w:rPr>
                <w:rFonts w:ascii="Times New Roman" w:eastAsia="Times New Roman" w:hAnsi="Times New Roman" w:cs="Times New Roman"/>
                <w:color w:val="222222"/>
                <w:sz w:val="18"/>
                <w:szCs w:val="18"/>
                <w:lang w:eastAsia="es-CO"/>
              </w:rPr>
              <w:t>Hidroi</w:t>
            </w:r>
            <w:r w:rsidR="00460E0E" w:rsidRPr="004511FF">
              <w:rPr>
                <w:rFonts w:ascii="Times New Roman" w:eastAsia="Times New Roman" w:hAnsi="Times New Roman" w:cs="Times New Roman"/>
                <w:color w:val="222222"/>
                <w:sz w:val="18"/>
                <w:szCs w:val="18"/>
                <w:lang w:eastAsia="es-CO"/>
              </w:rPr>
              <w:t>tuango</w:t>
            </w:r>
            <w:r w:rsidRPr="004511FF">
              <w:rPr>
                <w:rFonts w:ascii="Times New Roman" w:eastAsia="Times New Roman" w:hAnsi="Times New Roman" w:cs="Times New Roman"/>
                <w:color w:val="222222"/>
                <w:sz w:val="18"/>
                <w:szCs w:val="18"/>
                <w:lang w:eastAsia="es-CO"/>
              </w:rPr>
              <w:t>, lo que anima y motiva al BID a la estructuración de</w:t>
            </w:r>
            <w:r>
              <w:rPr>
                <w:rFonts w:ascii="Times New Roman" w:eastAsia="Times New Roman" w:hAnsi="Times New Roman" w:cs="Times New Roman"/>
                <w:color w:val="222222"/>
                <w:sz w:val="18"/>
                <w:szCs w:val="18"/>
                <w:lang w:eastAsia="es-CO"/>
              </w:rPr>
              <w:t xml:space="preserve"> </w:t>
            </w:r>
            <w:r w:rsidRPr="004511FF">
              <w:rPr>
                <w:rFonts w:ascii="Times New Roman" w:eastAsia="Times New Roman" w:hAnsi="Times New Roman" w:cs="Times New Roman"/>
                <w:color w:val="222222"/>
                <w:sz w:val="18"/>
                <w:szCs w:val="18"/>
                <w:lang w:eastAsia="es-CO"/>
              </w:rPr>
              <w:t xml:space="preserve">los proyectos y buscar las alternativas financieras. </w:t>
            </w:r>
          </w:p>
          <w:p w14:paraId="280F00B8" w14:textId="267F30E0" w:rsidR="004511FF" w:rsidRDefault="004511FF" w:rsidP="004511FF">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18"/>
                <w:szCs w:val="18"/>
                <w:lang w:eastAsia="es-CO"/>
              </w:rPr>
            </w:pPr>
            <w:r w:rsidRPr="004511FF">
              <w:rPr>
                <w:rFonts w:ascii="Times New Roman" w:eastAsia="Times New Roman" w:hAnsi="Times New Roman" w:cs="Times New Roman"/>
                <w:color w:val="222222"/>
                <w:sz w:val="18"/>
                <w:szCs w:val="18"/>
                <w:u w:val="single"/>
                <w:lang w:eastAsia="es-CO"/>
              </w:rPr>
              <w:t>Comisión Inmobiliaria</w:t>
            </w:r>
            <w:r>
              <w:rPr>
                <w:rFonts w:ascii="Times New Roman" w:eastAsia="Times New Roman" w:hAnsi="Times New Roman" w:cs="Times New Roman"/>
                <w:color w:val="222222"/>
                <w:sz w:val="18"/>
                <w:szCs w:val="18"/>
                <w:lang w:eastAsia="es-CO"/>
              </w:rPr>
              <w:t xml:space="preserve">: recomienda la venta de los siguientes bienes para apoyar la financiación del complejo de la Salud: </w:t>
            </w:r>
          </w:p>
          <w:p w14:paraId="33F69B6A" w14:textId="19D4907D" w:rsidR="00021531" w:rsidRPr="00021531" w:rsidRDefault="00021531" w:rsidP="00021531">
            <w:pPr>
              <w:pStyle w:val="Default"/>
              <w:ind w:left="175" w:right="31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18"/>
                <w:szCs w:val="18"/>
                <w:lang w:eastAsia="es-CO"/>
              </w:rPr>
            </w:pPr>
            <w:r w:rsidRPr="00021531">
              <w:rPr>
                <w:rFonts w:ascii="Times New Roman" w:eastAsia="Times New Roman" w:hAnsi="Times New Roman" w:cs="Times New Roman"/>
                <w:color w:val="222222"/>
                <w:sz w:val="18"/>
                <w:szCs w:val="18"/>
                <w:lang w:eastAsia="es-CO"/>
              </w:rPr>
              <w:t>•Bosques Gil J. Gil, (con previa contratación de un experto para realizar</w:t>
            </w:r>
            <w:r>
              <w:rPr>
                <w:rFonts w:ascii="Times New Roman" w:eastAsia="Times New Roman" w:hAnsi="Times New Roman" w:cs="Times New Roman"/>
                <w:color w:val="222222"/>
                <w:sz w:val="18"/>
                <w:szCs w:val="18"/>
                <w:lang w:eastAsia="es-CO"/>
              </w:rPr>
              <w:t xml:space="preserve"> </w:t>
            </w:r>
            <w:r w:rsidRPr="00021531">
              <w:rPr>
                <w:rFonts w:ascii="Times New Roman" w:eastAsia="Times New Roman" w:hAnsi="Times New Roman" w:cs="Times New Roman"/>
                <w:color w:val="222222"/>
                <w:sz w:val="18"/>
                <w:szCs w:val="18"/>
                <w:lang w:eastAsia="es-CO"/>
              </w:rPr>
              <w:t>dicha venta o canje con el municipio de Medellín)</w:t>
            </w:r>
          </w:p>
          <w:p w14:paraId="16B4FD6A" w14:textId="525015D3" w:rsidR="00021531" w:rsidRPr="00021531" w:rsidRDefault="00021531" w:rsidP="00021531">
            <w:pPr>
              <w:pStyle w:val="Default"/>
              <w:ind w:left="175" w:right="31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18"/>
                <w:szCs w:val="18"/>
                <w:lang w:eastAsia="es-CO"/>
              </w:rPr>
            </w:pPr>
            <w:r w:rsidRPr="00021531">
              <w:rPr>
                <w:rFonts w:ascii="Times New Roman" w:eastAsia="Times New Roman" w:hAnsi="Times New Roman" w:cs="Times New Roman"/>
                <w:color w:val="222222"/>
                <w:sz w:val="18"/>
                <w:szCs w:val="18"/>
                <w:lang w:eastAsia="es-CO"/>
              </w:rPr>
              <w:t>• La Hacienda El Progreso (primera opción al Ferrocarril de Antioquia</w:t>
            </w:r>
            <w:r>
              <w:rPr>
                <w:rFonts w:ascii="Times New Roman" w:eastAsia="Times New Roman" w:hAnsi="Times New Roman" w:cs="Times New Roman"/>
                <w:color w:val="222222"/>
                <w:sz w:val="18"/>
                <w:szCs w:val="18"/>
                <w:lang w:eastAsia="es-CO"/>
              </w:rPr>
              <w:t xml:space="preserve"> </w:t>
            </w:r>
            <w:r w:rsidRPr="00021531">
              <w:rPr>
                <w:rFonts w:ascii="Times New Roman" w:eastAsia="Times New Roman" w:hAnsi="Times New Roman" w:cs="Times New Roman"/>
                <w:color w:val="222222"/>
                <w:sz w:val="18"/>
                <w:szCs w:val="18"/>
                <w:lang w:eastAsia="es-CO"/>
              </w:rPr>
              <w:t>mediante carta de intención, una vez se resuelva el traslado de la</w:t>
            </w:r>
            <w:r>
              <w:rPr>
                <w:rFonts w:ascii="Times New Roman" w:eastAsia="Times New Roman" w:hAnsi="Times New Roman" w:cs="Times New Roman"/>
                <w:color w:val="222222"/>
                <w:sz w:val="18"/>
                <w:szCs w:val="18"/>
                <w:lang w:eastAsia="es-CO"/>
              </w:rPr>
              <w:t xml:space="preserve"> </w:t>
            </w:r>
            <w:r w:rsidRPr="00021531">
              <w:rPr>
                <w:rFonts w:ascii="Times New Roman" w:eastAsia="Times New Roman" w:hAnsi="Times New Roman" w:cs="Times New Roman"/>
                <w:color w:val="222222"/>
                <w:sz w:val="18"/>
                <w:szCs w:val="18"/>
                <w:lang w:eastAsia="es-CO"/>
              </w:rPr>
              <w:t>Facultad de Ciencias Agrarias para la Seccional del Oriente</w:t>
            </w:r>
            <w:r>
              <w:rPr>
                <w:rFonts w:ascii="Times New Roman" w:eastAsia="Times New Roman" w:hAnsi="Times New Roman" w:cs="Times New Roman"/>
                <w:color w:val="222222"/>
                <w:sz w:val="18"/>
                <w:szCs w:val="18"/>
                <w:lang w:eastAsia="es-CO"/>
              </w:rPr>
              <w:t xml:space="preserve"> </w:t>
            </w:r>
            <w:r w:rsidRPr="00021531">
              <w:rPr>
                <w:rFonts w:ascii="Times New Roman" w:eastAsia="Times New Roman" w:hAnsi="Times New Roman" w:cs="Times New Roman"/>
                <w:color w:val="222222"/>
                <w:sz w:val="18"/>
                <w:szCs w:val="18"/>
                <w:lang w:eastAsia="es-CO"/>
              </w:rPr>
              <w:t>Antioqueño).</w:t>
            </w:r>
          </w:p>
          <w:p w14:paraId="386A7F0F" w14:textId="77777777" w:rsidR="00021531" w:rsidRPr="00021531" w:rsidRDefault="00021531" w:rsidP="00021531">
            <w:pPr>
              <w:pStyle w:val="Default"/>
              <w:ind w:left="175" w:right="31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18"/>
                <w:szCs w:val="18"/>
                <w:lang w:eastAsia="es-CO"/>
              </w:rPr>
            </w:pPr>
            <w:r w:rsidRPr="00021531">
              <w:rPr>
                <w:rFonts w:ascii="Times New Roman" w:eastAsia="Times New Roman" w:hAnsi="Times New Roman" w:cs="Times New Roman"/>
                <w:color w:val="222222"/>
                <w:sz w:val="18"/>
                <w:szCs w:val="18"/>
                <w:lang w:eastAsia="es-CO"/>
              </w:rPr>
              <w:t>• La Reforestadora San Sebastián (una vez se resuelva su liquidación)</w:t>
            </w:r>
          </w:p>
          <w:p w14:paraId="7882BB97" w14:textId="42DDF45F" w:rsidR="00021531" w:rsidRPr="00021531" w:rsidRDefault="00021531" w:rsidP="00021531">
            <w:pPr>
              <w:pStyle w:val="Default"/>
              <w:ind w:left="175" w:right="31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18"/>
                <w:szCs w:val="18"/>
                <w:lang w:eastAsia="es-CO"/>
              </w:rPr>
            </w:pPr>
            <w:r w:rsidRPr="00021531">
              <w:rPr>
                <w:rFonts w:ascii="Times New Roman" w:eastAsia="Times New Roman" w:hAnsi="Times New Roman" w:cs="Times New Roman"/>
                <w:color w:val="222222"/>
                <w:sz w:val="18"/>
                <w:szCs w:val="18"/>
                <w:lang w:eastAsia="es-CO"/>
              </w:rPr>
              <w:t>• El Edificio Antioquia declarado como Patrimonio Cultural Inmueble de</w:t>
            </w:r>
            <w:r>
              <w:rPr>
                <w:rFonts w:ascii="Times New Roman" w:eastAsia="Times New Roman" w:hAnsi="Times New Roman" w:cs="Times New Roman"/>
                <w:color w:val="222222"/>
                <w:sz w:val="18"/>
                <w:szCs w:val="18"/>
                <w:lang w:eastAsia="es-CO"/>
              </w:rPr>
              <w:t xml:space="preserve"> </w:t>
            </w:r>
            <w:r w:rsidRPr="00021531">
              <w:rPr>
                <w:rFonts w:ascii="Times New Roman" w:eastAsia="Times New Roman" w:hAnsi="Times New Roman" w:cs="Times New Roman"/>
                <w:color w:val="222222"/>
                <w:sz w:val="18"/>
                <w:szCs w:val="18"/>
                <w:lang w:eastAsia="es-CO"/>
              </w:rPr>
              <w:t>Medellín (Se recomienda que Sapiencia oficialice la intención de</w:t>
            </w:r>
            <w:r>
              <w:rPr>
                <w:rFonts w:ascii="Times New Roman" w:eastAsia="Times New Roman" w:hAnsi="Times New Roman" w:cs="Times New Roman"/>
                <w:color w:val="222222"/>
                <w:sz w:val="18"/>
                <w:szCs w:val="18"/>
                <w:lang w:eastAsia="es-CO"/>
              </w:rPr>
              <w:t xml:space="preserve"> </w:t>
            </w:r>
            <w:r w:rsidRPr="00021531">
              <w:rPr>
                <w:rFonts w:ascii="Times New Roman" w:eastAsia="Times New Roman" w:hAnsi="Times New Roman" w:cs="Times New Roman"/>
                <w:color w:val="222222"/>
                <w:sz w:val="18"/>
                <w:szCs w:val="18"/>
                <w:lang w:eastAsia="es-CO"/>
              </w:rPr>
              <w:t>compra de la Propiedad a la Universidad de Antioquia).</w:t>
            </w:r>
          </w:p>
          <w:p w14:paraId="30C15CA1" w14:textId="3469E74B" w:rsidR="00021531" w:rsidRPr="00021531" w:rsidRDefault="00021531" w:rsidP="00021531">
            <w:pPr>
              <w:pStyle w:val="Default"/>
              <w:ind w:left="175" w:right="31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18"/>
                <w:szCs w:val="18"/>
                <w:lang w:eastAsia="es-CO"/>
              </w:rPr>
            </w:pPr>
            <w:r w:rsidRPr="00021531">
              <w:rPr>
                <w:rFonts w:ascii="Times New Roman" w:eastAsia="Times New Roman" w:hAnsi="Times New Roman" w:cs="Times New Roman"/>
                <w:color w:val="222222"/>
                <w:sz w:val="18"/>
                <w:szCs w:val="18"/>
                <w:lang w:eastAsia="es-CO"/>
              </w:rPr>
              <w:t>•El lote de la calle 65 # 55-60 (Parque del Emprendimiento) y la calle65 # 55-60 (Bodega Transportes Sierra). Se recomienda establecer</w:t>
            </w:r>
            <w:r>
              <w:rPr>
                <w:rFonts w:ascii="Times New Roman" w:eastAsia="Times New Roman" w:hAnsi="Times New Roman" w:cs="Times New Roman"/>
                <w:color w:val="222222"/>
                <w:sz w:val="18"/>
                <w:szCs w:val="18"/>
                <w:lang w:eastAsia="es-CO"/>
              </w:rPr>
              <w:t xml:space="preserve"> </w:t>
            </w:r>
            <w:r w:rsidRPr="00021531">
              <w:rPr>
                <w:rFonts w:ascii="Times New Roman" w:eastAsia="Times New Roman" w:hAnsi="Times New Roman" w:cs="Times New Roman"/>
                <w:color w:val="222222"/>
                <w:sz w:val="18"/>
                <w:szCs w:val="18"/>
                <w:lang w:eastAsia="es-CO"/>
              </w:rPr>
              <w:t>convenio con Ruta N y la EDU (actuales interesados en alianza con la</w:t>
            </w:r>
            <w:r>
              <w:rPr>
                <w:rFonts w:ascii="Times New Roman" w:eastAsia="Times New Roman" w:hAnsi="Times New Roman" w:cs="Times New Roman"/>
                <w:color w:val="222222"/>
                <w:sz w:val="18"/>
                <w:szCs w:val="18"/>
                <w:lang w:eastAsia="es-CO"/>
              </w:rPr>
              <w:t xml:space="preserve"> </w:t>
            </w:r>
            <w:r w:rsidRPr="00021531">
              <w:rPr>
                <w:rFonts w:ascii="Times New Roman" w:eastAsia="Times New Roman" w:hAnsi="Times New Roman" w:cs="Times New Roman"/>
                <w:color w:val="222222"/>
                <w:sz w:val="18"/>
                <w:szCs w:val="18"/>
                <w:lang w:eastAsia="es-CO"/>
              </w:rPr>
              <w:t>Universidad) para desarrollo del lote como parte del distrito de</w:t>
            </w:r>
            <w:r>
              <w:rPr>
                <w:rFonts w:ascii="Times New Roman" w:eastAsia="Times New Roman" w:hAnsi="Times New Roman" w:cs="Times New Roman"/>
                <w:color w:val="222222"/>
                <w:sz w:val="18"/>
                <w:szCs w:val="18"/>
                <w:lang w:eastAsia="es-CO"/>
              </w:rPr>
              <w:t xml:space="preserve"> </w:t>
            </w:r>
            <w:r w:rsidRPr="00021531">
              <w:rPr>
                <w:rFonts w:ascii="Times New Roman" w:eastAsia="Times New Roman" w:hAnsi="Times New Roman" w:cs="Times New Roman"/>
                <w:color w:val="222222"/>
                <w:sz w:val="18"/>
                <w:szCs w:val="18"/>
                <w:lang w:eastAsia="es-CO"/>
              </w:rPr>
              <w:t>Innovación. No se recomienda vender</w:t>
            </w:r>
            <w:r>
              <w:rPr>
                <w:rFonts w:ascii="Times New Roman" w:eastAsia="Times New Roman" w:hAnsi="Times New Roman" w:cs="Times New Roman"/>
                <w:color w:val="222222"/>
                <w:sz w:val="18"/>
                <w:szCs w:val="18"/>
                <w:lang w:eastAsia="es-CO"/>
              </w:rPr>
              <w:t xml:space="preserve"> </w:t>
            </w:r>
            <w:r w:rsidRPr="00021531">
              <w:rPr>
                <w:rFonts w:ascii="Times New Roman" w:eastAsia="Times New Roman" w:hAnsi="Times New Roman" w:cs="Times New Roman"/>
                <w:color w:val="222222"/>
                <w:sz w:val="18"/>
                <w:szCs w:val="18"/>
                <w:lang w:eastAsia="es-CO"/>
              </w:rPr>
              <w:t>a un privado para desarrollo</w:t>
            </w:r>
            <w:r>
              <w:rPr>
                <w:rFonts w:ascii="Times New Roman" w:eastAsia="Times New Roman" w:hAnsi="Times New Roman" w:cs="Times New Roman"/>
                <w:color w:val="222222"/>
                <w:sz w:val="18"/>
                <w:szCs w:val="18"/>
                <w:lang w:eastAsia="es-CO"/>
              </w:rPr>
              <w:t xml:space="preserve"> </w:t>
            </w:r>
            <w:r w:rsidRPr="00021531">
              <w:rPr>
                <w:rFonts w:ascii="Times New Roman" w:eastAsia="Times New Roman" w:hAnsi="Times New Roman" w:cs="Times New Roman"/>
                <w:color w:val="222222"/>
                <w:sz w:val="18"/>
                <w:szCs w:val="18"/>
                <w:lang w:eastAsia="es-CO"/>
              </w:rPr>
              <w:t>particular que no corresponda con la vocación del entorno. En</w:t>
            </w:r>
            <w:r>
              <w:rPr>
                <w:rFonts w:ascii="Times New Roman" w:eastAsia="Times New Roman" w:hAnsi="Times New Roman" w:cs="Times New Roman"/>
                <w:color w:val="222222"/>
                <w:sz w:val="18"/>
                <w:szCs w:val="18"/>
                <w:lang w:eastAsia="es-CO"/>
              </w:rPr>
              <w:t xml:space="preserve"> p</w:t>
            </w:r>
            <w:r w:rsidRPr="00021531">
              <w:rPr>
                <w:rFonts w:ascii="Times New Roman" w:eastAsia="Times New Roman" w:hAnsi="Times New Roman" w:cs="Times New Roman"/>
                <w:color w:val="222222"/>
                <w:sz w:val="18"/>
                <w:szCs w:val="18"/>
                <w:lang w:eastAsia="es-CO"/>
              </w:rPr>
              <w:t>rincipio solicitarles carta de intención para la alianza.</w:t>
            </w:r>
          </w:p>
          <w:p w14:paraId="050B6907" w14:textId="1C1BC605" w:rsidR="00021531" w:rsidRPr="00021531" w:rsidRDefault="00021531" w:rsidP="00021531">
            <w:pPr>
              <w:pStyle w:val="Default"/>
              <w:ind w:left="175" w:right="31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18"/>
                <w:szCs w:val="18"/>
                <w:lang w:eastAsia="es-CO"/>
              </w:rPr>
            </w:pPr>
            <w:r w:rsidRPr="00021531">
              <w:rPr>
                <w:rFonts w:ascii="Times New Roman" w:eastAsia="Times New Roman" w:hAnsi="Times New Roman" w:cs="Times New Roman"/>
                <w:color w:val="222222"/>
                <w:sz w:val="18"/>
                <w:szCs w:val="18"/>
                <w:lang w:eastAsia="es-CO"/>
              </w:rPr>
              <w:t>u El lote ubicado en la carrera 42 Córdoba, presenta dos interesados la</w:t>
            </w:r>
            <w:r>
              <w:rPr>
                <w:rFonts w:ascii="Times New Roman" w:eastAsia="Times New Roman" w:hAnsi="Times New Roman" w:cs="Times New Roman"/>
                <w:color w:val="222222"/>
                <w:sz w:val="18"/>
                <w:szCs w:val="18"/>
                <w:lang w:eastAsia="es-CO"/>
              </w:rPr>
              <w:t xml:space="preserve"> </w:t>
            </w:r>
            <w:r w:rsidRPr="00021531">
              <w:rPr>
                <w:rFonts w:ascii="Times New Roman" w:eastAsia="Times New Roman" w:hAnsi="Times New Roman" w:cs="Times New Roman"/>
                <w:color w:val="222222"/>
                <w:sz w:val="18"/>
                <w:szCs w:val="18"/>
                <w:lang w:eastAsia="es-CO"/>
              </w:rPr>
              <w:t>Corporación Universitaria Americana y el Instituto de Bellas Artes</w:t>
            </w:r>
            <w:r>
              <w:rPr>
                <w:rFonts w:ascii="Times New Roman" w:eastAsia="Times New Roman" w:hAnsi="Times New Roman" w:cs="Times New Roman"/>
                <w:color w:val="222222"/>
                <w:sz w:val="18"/>
                <w:szCs w:val="18"/>
                <w:lang w:eastAsia="es-CO"/>
              </w:rPr>
              <w:t xml:space="preserve"> </w:t>
            </w:r>
            <w:r w:rsidRPr="00021531">
              <w:rPr>
                <w:rFonts w:ascii="Times New Roman" w:eastAsia="Times New Roman" w:hAnsi="Times New Roman" w:cs="Times New Roman"/>
                <w:color w:val="222222"/>
                <w:sz w:val="18"/>
                <w:szCs w:val="18"/>
                <w:lang w:eastAsia="es-CO"/>
              </w:rPr>
              <w:t>también se recomienda realizar un proceso de pública subasta.</w:t>
            </w:r>
          </w:p>
          <w:p w14:paraId="21C8F189" w14:textId="036882F8" w:rsidR="00021531" w:rsidRPr="00021531" w:rsidRDefault="00021531" w:rsidP="00021531">
            <w:pPr>
              <w:pStyle w:val="Default"/>
              <w:ind w:left="175" w:right="31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18"/>
                <w:szCs w:val="18"/>
                <w:lang w:eastAsia="es-CO"/>
              </w:rPr>
            </w:pPr>
            <w:r w:rsidRPr="00021531">
              <w:rPr>
                <w:rFonts w:ascii="Times New Roman" w:eastAsia="Times New Roman" w:hAnsi="Times New Roman" w:cs="Times New Roman"/>
                <w:color w:val="222222"/>
                <w:sz w:val="18"/>
                <w:szCs w:val="18"/>
                <w:lang w:eastAsia="es-CO"/>
              </w:rPr>
              <w:t>• El lote denominado Radio Faro localizado en el municipio de</w:t>
            </w:r>
            <w:r>
              <w:rPr>
                <w:rFonts w:ascii="Times New Roman" w:eastAsia="Times New Roman" w:hAnsi="Times New Roman" w:cs="Times New Roman"/>
                <w:color w:val="222222"/>
                <w:sz w:val="18"/>
                <w:szCs w:val="18"/>
                <w:lang w:eastAsia="es-CO"/>
              </w:rPr>
              <w:t xml:space="preserve"> </w:t>
            </w:r>
            <w:r w:rsidRPr="00021531">
              <w:rPr>
                <w:rFonts w:ascii="Times New Roman" w:eastAsia="Times New Roman" w:hAnsi="Times New Roman" w:cs="Times New Roman"/>
                <w:color w:val="222222"/>
                <w:sz w:val="18"/>
                <w:szCs w:val="18"/>
                <w:lang w:eastAsia="es-CO"/>
              </w:rPr>
              <w:t>Arboletes, si la seccional de Urabá no lo necesitara para asuntos</w:t>
            </w:r>
            <w:r>
              <w:rPr>
                <w:rFonts w:ascii="Times New Roman" w:eastAsia="Times New Roman" w:hAnsi="Times New Roman" w:cs="Times New Roman"/>
                <w:color w:val="222222"/>
                <w:sz w:val="18"/>
                <w:szCs w:val="18"/>
                <w:lang w:eastAsia="es-CO"/>
              </w:rPr>
              <w:t xml:space="preserve"> </w:t>
            </w:r>
            <w:r w:rsidRPr="00021531">
              <w:rPr>
                <w:rFonts w:ascii="Times New Roman" w:eastAsia="Times New Roman" w:hAnsi="Times New Roman" w:cs="Times New Roman"/>
                <w:color w:val="222222"/>
                <w:sz w:val="18"/>
                <w:szCs w:val="18"/>
                <w:lang w:eastAsia="es-CO"/>
              </w:rPr>
              <w:t>experimentales. (Existe oferta de un particular para el predio).</w:t>
            </w:r>
          </w:p>
          <w:p w14:paraId="1EDA2FE9" w14:textId="77777777" w:rsidR="00021531" w:rsidRDefault="00021531" w:rsidP="00021531">
            <w:pPr>
              <w:pStyle w:val="Default"/>
              <w:ind w:right="31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18"/>
                <w:szCs w:val="18"/>
                <w:lang w:eastAsia="es-CO"/>
              </w:rPr>
            </w:pPr>
          </w:p>
          <w:p w14:paraId="67A790C6" w14:textId="4B02BEDF" w:rsidR="0060717C" w:rsidRPr="00021531" w:rsidRDefault="00021531" w:rsidP="00021531">
            <w:pPr>
              <w:pStyle w:val="Default"/>
              <w:ind w:right="31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18"/>
                <w:szCs w:val="18"/>
                <w:lang w:eastAsia="es-CO"/>
              </w:rPr>
            </w:pPr>
            <w:r>
              <w:rPr>
                <w:rFonts w:ascii="Times New Roman" w:eastAsia="Times New Roman" w:hAnsi="Times New Roman" w:cs="Times New Roman"/>
                <w:color w:val="222222"/>
                <w:sz w:val="18"/>
                <w:szCs w:val="18"/>
                <w:lang w:eastAsia="es-CO"/>
              </w:rPr>
              <w:t>Uno de los integrantes de la Comisión se</w:t>
            </w:r>
            <w:r w:rsidRPr="00021531">
              <w:rPr>
                <w:rFonts w:ascii="Times New Roman" w:eastAsia="Times New Roman" w:hAnsi="Times New Roman" w:cs="Times New Roman"/>
                <w:color w:val="222222"/>
                <w:sz w:val="18"/>
                <w:szCs w:val="18"/>
                <w:lang w:eastAsia="es-CO"/>
              </w:rPr>
              <w:t>ñala que durante su estancia en esta</w:t>
            </w:r>
            <w:r>
              <w:rPr>
                <w:rFonts w:ascii="Times New Roman" w:eastAsia="Times New Roman" w:hAnsi="Times New Roman" w:cs="Times New Roman"/>
                <w:color w:val="222222"/>
                <w:sz w:val="18"/>
                <w:szCs w:val="18"/>
                <w:lang w:eastAsia="es-CO"/>
              </w:rPr>
              <w:t xml:space="preserve"> </w:t>
            </w:r>
            <w:r w:rsidRPr="00021531">
              <w:rPr>
                <w:rFonts w:ascii="Times New Roman" w:eastAsia="Times New Roman" w:hAnsi="Times New Roman" w:cs="Times New Roman"/>
                <w:color w:val="222222"/>
                <w:sz w:val="18"/>
                <w:szCs w:val="18"/>
                <w:lang w:eastAsia="es-CO"/>
              </w:rPr>
              <w:t>comisión no se han vendido bienes de la Universidad.</w:t>
            </w:r>
          </w:p>
        </w:tc>
      </w:tr>
    </w:tbl>
    <w:p w14:paraId="534E8050" w14:textId="77777777" w:rsidR="007D5394" w:rsidRDefault="007D5394" w:rsidP="007D5394"/>
    <w:p w14:paraId="6458F606" w14:textId="1F86DFBB" w:rsidR="00765333" w:rsidRDefault="00765333">
      <w:pPr>
        <w:spacing w:after="160" w:line="259" w:lineRule="auto"/>
        <w:rPr>
          <w:sz w:val="22"/>
          <w:szCs w:val="22"/>
        </w:rPr>
      </w:pPr>
    </w:p>
    <w:sectPr w:rsidR="00765333" w:rsidSect="00371ACF">
      <w:pgSz w:w="12240" w:h="15840"/>
      <w:pgMar w:top="1304" w:right="1701" w:bottom="1134" w:left="1701"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23287" w14:textId="77777777" w:rsidR="00930973" w:rsidRDefault="00930973" w:rsidP="003E6B99">
      <w:r>
        <w:separator/>
      </w:r>
    </w:p>
  </w:endnote>
  <w:endnote w:type="continuationSeparator" w:id="0">
    <w:p w14:paraId="0E10E5E3" w14:textId="77777777" w:rsidR="00930973" w:rsidRDefault="00930973" w:rsidP="003E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FA749" w14:textId="77777777" w:rsidR="00685EB0" w:rsidRPr="00D675DA" w:rsidRDefault="00685EB0" w:rsidP="00D675DA">
    <w:pPr>
      <w:pStyle w:val="Piedepgina"/>
      <w:tabs>
        <w:tab w:val="left" w:pos="2655"/>
        <w:tab w:val="right" w:pos="8931"/>
      </w:tabs>
      <w:ind w:left="-426" w:right="-234"/>
      <w:jc w:val="center"/>
      <w:rPr>
        <w:sz w:val="6"/>
      </w:rPr>
    </w:pPr>
  </w:p>
  <w:sdt>
    <w:sdtPr>
      <w:id w:val="-981846909"/>
      <w:docPartObj>
        <w:docPartGallery w:val="Page Numbers (Bottom of Page)"/>
        <w:docPartUnique/>
      </w:docPartObj>
    </w:sdtPr>
    <w:sdtEndPr/>
    <w:sdtContent>
      <w:p w14:paraId="16E187B8" w14:textId="77777777" w:rsidR="00685EB0" w:rsidRDefault="00685EB0" w:rsidP="00EC7FA8">
        <w:pPr>
          <w:pStyle w:val="Piedepgina"/>
          <w:tabs>
            <w:tab w:val="right" w:pos="8931"/>
          </w:tabs>
          <w:ind w:left="-426" w:right="-234"/>
          <w:jc w:val="center"/>
          <w:rPr>
            <w:color w:val="004600"/>
            <w:sz w:val="18"/>
            <w:szCs w:val="18"/>
          </w:rPr>
        </w:pPr>
        <w:r>
          <w:tab/>
        </w:r>
        <w:r>
          <w:rPr>
            <w:color w:val="004600"/>
            <w:sz w:val="18"/>
            <w:szCs w:val="18"/>
          </w:rPr>
          <w:t>Recepción de correspondencia: C</w:t>
        </w:r>
        <w:r w:rsidRPr="00D64F06">
          <w:rPr>
            <w:color w:val="004600"/>
            <w:sz w:val="18"/>
            <w:szCs w:val="18"/>
          </w:rPr>
          <w:t>alle 70 No. 52 - 21 | Apartado Aéreo 1226 | D</w:t>
        </w:r>
        <w:r>
          <w:rPr>
            <w:color w:val="004600"/>
            <w:sz w:val="18"/>
            <w:szCs w:val="18"/>
          </w:rPr>
          <w:t>irección: calle 67 No. 53 – 108, bloque 16,</w:t>
        </w:r>
      </w:p>
      <w:p w14:paraId="65205C68" w14:textId="77777777" w:rsidR="00685EB0" w:rsidRDefault="00685EB0" w:rsidP="00EC7FA8">
        <w:pPr>
          <w:pStyle w:val="Piedepgina"/>
          <w:tabs>
            <w:tab w:val="right" w:pos="8931"/>
          </w:tabs>
          <w:ind w:left="-426" w:right="-234"/>
          <w:jc w:val="center"/>
          <w:rPr>
            <w:color w:val="004600"/>
            <w:sz w:val="18"/>
            <w:szCs w:val="18"/>
          </w:rPr>
        </w:pPr>
        <w:r>
          <w:rPr>
            <w:color w:val="004600"/>
            <w:sz w:val="18"/>
            <w:szCs w:val="18"/>
          </w:rPr>
          <w:t xml:space="preserve">Oficina 204 </w:t>
        </w:r>
        <w:r w:rsidRPr="00D64F06">
          <w:rPr>
            <w:color w:val="004600"/>
            <w:sz w:val="18"/>
            <w:szCs w:val="18"/>
          </w:rPr>
          <w:t>|</w:t>
        </w:r>
        <w:r>
          <w:rPr>
            <w:color w:val="004600"/>
            <w:sz w:val="18"/>
            <w:szCs w:val="18"/>
          </w:rPr>
          <w:t xml:space="preserve"> Teléfono</w:t>
        </w:r>
        <w:r w:rsidRPr="00D64F06">
          <w:rPr>
            <w:color w:val="004600"/>
            <w:sz w:val="18"/>
            <w:szCs w:val="18"/>
          </w:rPr>
          <w:t xml:space="preserve">: [57+4] 219 </w:t>
        </w:r>
        <w:r>
          <w:rPr>
            <w:color w:val="004600"/>
            <w:sz w:val="18"/>
            <w:szCs w:val="18"/>
          </w:rPr>
          <w:t>5085</w:t>
        </w:r>
        <w:r w:rsidRPr="00D64F06">
          <w:rPr>
            <w:color w:val="004600"/>
            <w:sz w:val="18"/>
            <w:szCs w:val="18"/>
          </w:rPr>
          <w:t xml:space="preserve"> |</w:t>
        </w:r>
        <w:r>
          <w:rPr>
            <w:color w:val="004600"/>
            <w:sz w:val="18"/>
            <w:szCs w:val="18"/>
          </w:rPr>
          <w:t xml:space="preserve"> Fax: 219 1125 </w:t>
        </w:r>
        <w:r w:rsidRPr="00D64F06">
          <w:rPr>
            <w:color w:val="004600"/>
            <w:sz w:val="18"/>
            <w:szCs w:val="18"/>
          </w:rPr>
          <w:t xml:space="preserve">| Correo electrónico: </w:t>
        </w:r>
        <w:r>
          <w:rPr>
            <w:color w:val="004600"/>
            <w:sz w:val="18"/>
            <w:szCs w:val="18"/>
          </w:rPr>
          <w:t>auditoriainstitucional</w:t>
        </w:r>
        <w:r w:rsidRPr="00D64F06">
          <w:rPr>
            <w:color w:val="004600"/>
            <w:sz w:val="18"/>
            <w:szCs w:val="18"/>
          </w:rPr>
          <w:t>@udea.edu.co</w:t>
        </w:r>
      </w:p>
      <w:p w14:paraId="2585F553" w14:textId="77777777" w:rsidR="00685EB0" w:rsidRDefault="00685EB0" w:rsidP="00EC7FA8">
        <w:pPr>
          <w:pStyle w:val="Piedepgina"/>
          <w:jc w:val="center"/>
        </w:pPr>
        <w:r w:rsidRPr="00D64F06">
          <w:rPr>
            <w:color w:val="004600"/>
            <w:sz w:val="18"/>
            <w:szCs w:val="18"/>
          </w:rPr>
          <w:t>NIT 890980040-8 |</w:t>
        </w:r>
        <w:r>
          <w:rPr>
            <w:color w:val="004600"/>
            <w:sz w:val="18"/>
            <w:szCs w:val="18"/>
          </w:rPr>
          <w:t xml:space="preserve"> http://www.udea.edu.co </w:t>
        </w:r>
        <w:r w:rsidRPr="00D64F06">
          <w:rPr>
            <w:color w:val="004600"/>
            <w:sz w:val="18"/>
            <w:szCs w:val="18"/>
          </w:rPr>
          <w:t>| Medellín - Colombia</w:t>
        </w:r>
        <w:r>
          <w:rPr>
            <w:noProof/>
          </w:rPr>
          <w:t xml:space="preserve"> </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283110"/>
      <w:docPartObj>
        <w:docPartGallery w:val="Page Numbers (Bottom of Page)"/>
        <w:docPartUnique/>
      </w:docPartObj>
    </w:sdtPr>
    <w:sdtEndPr/>
    <w:sdtContent>
      <w:p w14:paraId="2ADA2413" w14:textId="77777777" w:rsidR="00685EB0" w:rsidRDefault="00685EB0" w:rsidP="00605509">
        <w:pPr>
          <w:pStyle w:val="Piedepgina"/>
          <w:tabs>
            <w:tab w:val="right" w:pos="8931"/>
          </w:tabs>
          <w:ind w:left="-426" w:right="-234"/>
          <w:jc w:val="center"/>
        </w:pPr>
        <w:r>
          <w:rPr>
            <w:noProof/>
          </w:rPr>
          <mc:AlternateContent>
            <mc:Choice Requires="wps">
              <w:drawing>
                <wp:anchor distT="0" distB="0" distL="114300" distR="114300" simplePos="0" relativeHeight="251661312" behindDoc="0" locked="0" layoutInCell="0" allowOverlap="1" wp14:anchorId="5BE28465" wp14:editId="1BFDED63">
                  <wp:simplePos x="0" y="0"/>
                  <wp:positionH relativeFrom="rightMargin">
                    <wp:posOffset>323850</wp:posOffset>
                  </wp:positionH>
                  <wp:positionV relativeFrom="bottomMargin">
                    <wp:posOffset>76200</wp:posOffset>
                  </wp:positionV>
                  <wp:extent cx="368300" cy="274320"/>
                  <wp:effectExtent l="9525" t="9525" r="12700" b="11430"/>
                  <wp:wrapNone/>
                  <wp:docPr id="2" name="Esquina doblad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0A98DE3A" w14:textId="6CEB6AD2" w:rsidR="00685EB0" w:rsidRDefault="00685EB0">
                              <w:pPr>
                                <w:jc w:val="center"/>
                              </w:pPr>
                              <w:r>
                                <w:rPr>
                                  <w:sz w:val="22"/>
                                  <w:szCs w:val="22"/>
                                </w:rPr>
                                <w:fldChar w:fldCharType="begin"/>
                              </w:r>
                              <w:r>
                                <w:instrText>PAGE    \* MERGEFORMAT</w:instrText>
                              </w:r>
                              <w:r>
                                <w:rPr>
                                  <w:sz w:val="22"/>
                                  <w:szCs w:val="22"/>
                                </w:rPr>
                                <w:fldChar w:fldCharType="separate"/>
                              </w:r>
                              <w:r w:rsidR="00AC7051" w:rsidRPr="00AC7051">
                                <w:rPr>
                                  <w:noProof/>
                                  <w:sz w:val="16"/>
                                  <w:szCs w:val="16"/>
                                  <w:lang w:val="es-ES"/>
                                </w:rPr>
                                <w:t>13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BE2846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Esquina doblada 2" o:spid="_x0000_s1026" type="#_x0000_t65" style="position:absolute;left:0;text-align:left;margin-left:25.5pt;margin-top:6pt;width:29pt;height:21.6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y50OwIAAHMEAAAOAAAAZHJzL2Uyb0RvYy54bWysVNtu1DAQfUfiHyy/0+ytF1bNVtW2RUgF&#10;KhU+YGI7G4PjMWPvZsvXM3GyZQs8IRLJmsmMj2fOGefyat86sTMULfpSTk8mUhivUFu/KeWXz3dv&#10;LqSICbwGh96U8slEebV6/eqyC0szwwadNiQYxMdlF0rZpBSWRRFVY1qIJxiM52CN1EJilzaFJugY&#10;vXXFbDI5KzokHQiViZG/3gxBucr4dW1U+lTX0SThSsm1pbxSXqt+LVaXsNwQhMaqsQz4hypasJ4P&#10;fYa6gQRiS/YPqNYqwoh1OlHYFljXVpncA3cznfzWzWMDweRemJwYnmmK/w9Wfdw9kLC6lDMpPLQs&#10;0W38vrUehMbKgQYx60nqQlxy7mN4oL7NGO5RfYvC47oBvzHXRNg1BjSXNu3zixcbeifyVlF1H1Dz&#10;GbBNmPna19T2gMyE2GdZnp5lMfskFH+cn13MJyye4tDsfDGfZdkKWB42B4rpncFW9EYp636o9BrJ&#10;G8qHwO4+pqyOHnsE/VWKunWs9Q6cmC9Ozw6gYzLDH2Bzw+isvrPOZYc21dqR4K2lvMtP7pl5OU5z&#10;XnRc/fT8NFfxIhaPIS4m/fs3CMKt13lGe3JvRzuBdYPNVTo/st0TPAiV9tV+1KxC/cS8Ew6TzzeV&#10;jQbphxQdT30pWWwgI4V771m7t9PFor8m2VmcnjPVgo4j1XEEvGKoUiYpBnOdhqu1DWQ3DZ80zZ17&#10;vGa9a5sOgzFUNdbNk83Wi6tz7OesX/+K1U8AAAD//wMAUEsDBBQABgAIAAAAIQC4KE/Y3QAAAAgB&#10;AAAPAAAAZHJzL2Rvd25yZXYueG1sTI9PT8JAEMXvJnyHzZh4MbKlBrC1W0JIjEcjGs5Ld2yL3dmy&#10;u5TKp3c46Wn+vMmb3ytWo+3EgD60jhTMpgkIpMqZlmoFnx8vD08gQtRkdOcIFfxggFU5uSl0btyZ&#10;3nHYxlqwCYVcK2hi7HMpQ9Wg1WHqeiTWvpy3OvLoa2m8PrO57WSaJAtpdUv8odE9bhqsvrcnq0D2&#10;h+FQvWbpzt0f3x4XFy+zy1Kpu9tx/Qwi4hj/juGKz+hQMtPencgE0SmYzzhK5H3K9aonGTd7FuYp&#10;yLKQ/wOUvwAAAP//AwBQSwECLQAUAAYACAAAACEAtoM4kv4AAADhAQAAEwAAAAAAAAAAAAAAAAAA&#10;AAAAW0NvbnRlbnRfVHlwZXNdLnhtbFBLAQItABQABgAIAAAAIQA4/SH/1gAAAJQBAAALAAAAAAAA&#10;AAAAAAAAAC8BAABfcmVscy8ucmVsc1BLAQItABQABgAIAAAAIQBlMy50OwIAAHMEAAAOAAAAAAAA&#10;AAAAAAAAAC4CAABkcnMvZTJvRG9jLnhtbFBLAQItABQABgAIAAAAIQC4KE/Y3QAAAAgBAAAPAAAA&#10;AAAAAAAAAAAAAJUEAABkcnMvZG93bnJldi54bWxQSwUGAAAAAAQABADzAAAAnwUAAAAA&#10;" o:allowincell="f" adj="14135" strokecolor="gray" strokeweight=".25pt">
                  <v:textbox>
                    <w:txbxContent>
                      <w:p w14:paraId="0A98DE3A" w14:textId="6CEB6AD2" w:rsidR="00685EB0" w:rsidRDefault="00685EB0">
                        <w:pPr>
                          <w:jc w:val="center"/>
                        </w:pPr>
                        <w:r>
                          <w:rPr>
                            <w:sz w:val="22"/>
                            <w:szCs w:val="22"/>
                          </w:rPr>
                          <w:fldChar w:fldCharType="begin"/>
                        </w:r>
                        <w:r>
                          <w:instrText>PAGE    \* MERGEFORMAT</w:instrText>
                        </w:r>
                        <w:r>
                          <w:rPr>
                            <w:sz w:val="22"/>
                            <w:szCs w:val="22"/>
                          </w:rPr>
                          <w:fldChar w:fldCharType="separate"/>
                        </w:r>
                        <w:r w:rsidR="00AC7051" w:rsidRPr="00AC7051">
                          <w:rPr>
                            <w:noProof/>
                            <w:sz w:val="16"/>
                            <w:szCs w:val="16"/>
                            <w:lang w:val="es-ES"/>
                          </w:rPr>
                          <w:t>13</w:t>
                        </w:r>
                        <w:r>
                          <w:rPr>
                            <w:sz w:val="16"/>
                            <w:szCs w:val="16"/>
                          </w:rPr>
                          <w:fldChar w:fldCharType="end"/>
                        </w:r>
                      </w:p>
                    </w:txbxContent>
                  </v:textbox>
                  <w10:wrap anchorx="margin" anchory="margin"/>
                </v:shape>
              </w:pict>
            </mc:Fallback>
          </mc:AlternateContent>
        </w:r>
        <w:r>
          <w:tab/>
        </w:r>
      </w:p>
      <w:p w14:paraId="0DA6B01E" w14:textId="77777777" w:rsidR="00685EB0" w:rsidRDefault="00685EB0" w:rsidP="00605509">
        <w:pPr>
          <w:pStyle w:val="Piedepgina"/>
          <w:tabs>
            <w:tab w:val="right" w:pos="8931"/>
          </w:tabs>
          <w:ind w:left="-426" w:right="-234"/>
          <w:jc w:val="center"/>
          <w:rPr>
            <w:color w:val="004600"/>
            <w:sz w:val="18"/>
            <w:szCs w:val="18"/>
          </w:rPr>
        </w:pPr>
        <w:r>
          <w:rPr>
            <w:color w:val="004600"/>
            <w:sz w:val="18"/>
            <w:szCs w:val="18"/>
          </w:rPr>
          <w:t>Recepción de correspondencia: C</w:t>
        </w:r>
        <w:r w:rsidRPr="00D64F06">
          <w:rPr>
            <w:color w:val="004600"/>
            <w:sz w:val="18"/>
            <w:szCs w:val="18"/>
          </w:rPr>
          <w:t>alle 70 No. 52 - 21 | Apartado Aéreo 1226 | D</w:t>
        </w:r>
        <w:r>
          <w:rPr>
            <w:color w:val="004600"/>
            <w:sz w:val="18"/>
            <w:szCs w:val="18"/>
          </w:rPr>
          <w:t>irección: calle 67 No. 53 – 108, bloque 16,</w:t>
        </w:r>
      </w:p>
      <w:p w14:paraId="4EBF1FC0" w14:textId="77777777" w:rsidR="00685EB0" w:rsidRDefault="00685EB0" w:rsidP="00605509">
        <w:pPr>
          <w:pStyle w:val="Piedepgina"/>
          <w:tabs>
            <w:tab w:val="right" w:pos="8931"/>
          </w:tabs>
          <w:ind w:left="-426" w:right="-234"/>
          <w:jc w:val="center"/>
          <w:rPr>
            <w:color w:val="004600"/>
            <w:sz w:val="18"/>
            <w:szCs w:val="18"/>
          </w:rPr>
        </w:pPr>
        <w:r>
          <w:rPr>
            <w:color w:val="004600"/>
            <w:sz w:val="18"/>
            <w:szCs w:val="18"/>
          </w:rPr>
          <w:t xml:space="preserve">Oficina 204 </w:t>
        </w:r>
        <w:r w:rsidRPr="00D64F06">
          <w:rPr>
            <w:color w:val="004600"/>
            <w:sz w:val="18"/>
            <w:szCs w:val="18"/>
          </w:rPr>
          <w:t>|</w:t>
        </w:r>
        <w:r>
          <w:rPr>
            <w:color w:val="004600"/>
            <w:sz w:val="18"/>
            <w:szCs w:val="18"/>
          </w:rPr>
          <w:t xml:space="preserve"> Teléfono</w:t>
        </w:r>
        <w:r w:rsidRPr="00D64F06">
          <w:rPr>
            <w:color w:val="004600"/>
            <w:sz w:val="18"/>
            <w:szCs w:val="18"/>
          </w:rPr>
          <w:t xml:space="preserve">: [57+4] 219 </w:t>
        </w:r>
        <w:r>
          <w:rPr>
            <w:color w:val="004600"/>
            <w:sz w:val="18"/>
            <w:szCs w:val="18"/>
          </w:rPr>
          <w:t>5085</w:t>
        </w:r>
        <w:r w:rsidRPr="00D64F06">
          <w:rPr>
            <w:color w:val="004600"/>
            <w:sz w:val="18"/>
            <w:szCs w:val="18"/>
          </w:rPr>
          <w:t xml:space="preserve"> |</w:t>
        </w:r>
        <w:r>
          <w:rPr>
            <w:color w:val="004600"/>
            <w:sz w:val="18"/>
            <w:szCs w:val="18"/>
          </w:rPr>
          <w:t xml:space="preserve"> Fax: 219 1125 </w:t>
        </w:r>
        <w:r w:rsidRPr="00D64F06">
          <w:rPr>
            <w:color w:val="004600"/>
            <w:sz w:val="18"/>
            <w:szCs w:val="18"/>
          </w:rPr>
          <w:t xml:space="preserve">| Correo electrónico: </w:t>
        </w:r>
        <w:r>
          <w:rPr>
            <w:color w:val="004600"/>
            <w:sz w:val="18"/>
            <w:szCs w:val="18"/>
          </w:rPr>
          <w:t>auditoriainstitucional</w:t>
        </w:r>
        <w:r w:rsidRPr="00D64F06">
          <w:rPr>
            <w:color w:val="004600"/>
            <w:sz w:val="18"/>
            <w:szCs w:val="18"/>
          </w:rPr>
          <w:t>@udea.edu.co</w:t>
        </w:r>
      </w:p>
      <w:p w14:paraId="1531F314" w14:textId="77777777" w:rsidR="00685EB0" w:rsidRDefault="00685EB0" w:rsidP="00605509">
        <w:pPr>
          <w:pStyle w:val="Piedepgina"/>
          <w:jc w:val="center"/>
        </w:pPr>
        <w:r w:rsidRPr="00D64F06">
          <w:rPr>
            <w:color w:val="004600"/>
            <w:sz w:val="18"/>
            <w:szCs w:val="18"/>
          </w:rPr>
          <w:t>NIT 890980040-8 |</w:t>
        </w:r>
        <w:r>
          <w:rPr>
            <w:color w:val="004600"/>
            <w:sz w:val="18"/>
            <w:szCs w:val="18"/>
          </w:rPr>
          <w:t xml:space="preserve"> http://www.udea.edu.co </w:t>
        </w:r>
        <w:r w:rsidRPr="00D64F06">
          <w:rPr>
            <w:color w:val="004600"/>
            <w:sz w:val="18"/>
            <w:szCs w:val="18"/>
          </w:rPr>
          <w:t>| Medellín - Colombia</w:t>
        </w:r>
        <w:r>
          <w:rPr>
            <w:noProof/>
          </w:rPr>
          <w:t xml:space="preserve"> </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22227" w14:textId="76FE4AC2" w:rsidR="00685EB0" w:rsidRDefault="00685EB0" w:rsidP="00EC7FA8">
    <w:pPr>
      <w:pStyle w:val="Piedepgina"/>
      <w:tabs>
        <w:tab w:val="right" w:pos="8931"/>
      </w:tabs>
      <w:ind w:left="-426" w:right="-234"/>
      <w:jc w:val="center"/>
    </w:pPr>
    <w:r>
      <w:tab/>
    </w:r>
  </w:p>
  <w:sdt>
    <w:sdtPr>
      <w:id w:val="-2112657786"/>
      <w:docPartObj>
        <w:docPartGallery w:val="Page Numbers (Bottom of Page)"/>
        <w:docPartUnique/>
      </w:docPartObj>
    </w:sdtPr>
    <w:sdtEndPr/>
    <w:sdtContent>
      <w:p w14:paraId="30751E37" w14:textId="77777777" w:rsidR="00685EB0" w:rsidRDefault="00685EB0" w:rsidP="00EC7FA8">
        <w:pPr>
          <w:pStyle w:val="Piedepgina"/>
          <w:tabs>
            <w:tab w:val="right" w:pos="8931"/>
          </w:tabs>
          <w:ind w:left="-426" w:right="-234"/>
          <w:jc w:val="center"/>
          <w:rPr>
            <w:color w:val="004600"/>
            <w:sz w:val="18"/>
            <w:szCs w:val="18"/>
          </w:rPr>
        </w:pPr>
        <w:r>
          <w:tab/>
        </w:r>
        <w:r>
          <w:rPr>
            <w:color w:val="004600"/>
            <w:sz w:val="18"/>
            <w:szCs w:val="18"/>
          </w:rPr>
          <w:t>Recepción de correspondencia: C</w:t>
        </w:r>
        <w:r w:rsidRPr="00D64F06">
          <w:rPr>
            <w:color w:val="004600"/>
            <w:sz w:val="18"/>
            <w:szCs w:val="18"/>
          </w:rPr>
          <w:t>alle 70 No. 52 - 21 | Apartado Aéreo 1226 | D</w:t>
        </w:r>
        <w:r>
          <w:rPr>
            <w:color w:val="004600"/>
            <w:sz w:val="18"/>
            <w:szCs w:val="18"/>
          </w:rPr>
          <w:t>irección: calle 67 No. 53 – 108, bloque 16,</w:t>
        </w:r>
      </w:p>
      <w:p w14:paraId="1814FB20" w14:textId="77777777" w:rsidR="00685EB0" w:rsidRDefault="00685EB0" w:rsidP="00EC7FA8">
        <w:pPr>
          <w:pStyle w:val="Piedepgina"/>
          <w:tabs>
            <w:tab w:val="right" w:pos="8931"/>
          </w:tabs>
          <w:ind w:left="-426" w:right="-234"/>
          <w:jc w:val="center"/>
          <w:rPr>
            <w:color w:val="004600"/>
            <w:sz w:val="18"/>
            <w:szCs w:val="18"/>
          </w:rPr>
        </w:pPr>
        <w:r>
          <w:rPr>
            <w:color w:val="004600"/>
            <w:sz w:val="18"/>
            <w:szCs w:val="18"/>
          </w:rPr>
          <w:t xml:space="preserve">Oficina 204 </w:t>
        </w:r>
        <w:r w:rsidRPr="00D64F06">
          <w:rPr>
            <w:color w:val="004600"/>
            <w:sz w:val="18"/>
            <w:szCs w:val="18"/>
          </w:rPr>
          <w:t>|</w:t>
        </w:r>
        <w:r>
          <w:rPr>
            <w:color w:val="004600"/>
            <w:sz w:val="18"/>
            <w:szCs w:val="18"/>
          </w:rPr>
          <w:t xml:space="preserve"> Teléfono</w:t>
        </w:r>
        <w:r w:rsidRPr="00D64F06">
          <w:rPr>
            <w:color w:val="004600"/>
            <w:sz w:val="18"/>
            <w:szCs w:val="18"/>
          </w:rPr>
          <w:t xml:space="preserve">: [57+4] 219 </w:t>
        </w:r>
        <w:r>
          <w:rPr>
            <w:color w:val="004600"/>
            <w:sz w:val="18"/>
            <w:szCs w:val="18"/>
          </w:rPr>
          <w:t>5085</w:t>
        </w:r>
        <w:r w:rsidRPr="00D64F06">
          <w:rPr>
            <w:color w:val="004600"/>
            <w:sz w:val="18"/>
            <w:szCs w:val="18"/>
          </w:rPr>
          <w:t xml:space="preserve"> |</w:t>
        </w:r>
        <w:r>
          <w:rPr>
            <w:color w:val="004600"/>
            <w:sz w:val="18"/>
            <w:szCs w:val="18"/>
          </w:rPr>
          <w:t xml:space="preserve"> Fax: 219 1125 </w:t>
        </w:r>
        <w:r w:rsidRPr="00D64F06">
          <w:rPr>
            <w:color w:val="004600"/>
            <w:sz w:val="18"/>
            <w:szCs w:val="18"/>
          </w:rPr>
          <w:t xml:space="preserve">| Correo electrónico: </w:t>
        </w:r>
        <w:r>
          <w:rPr>
            <w:color w:val="004600"/>
            <w:sz w:val="18"/>
            <w:szCs w:val="18"/>
          </w:rPr>
          <w:t>auditoriainstitucional</w:t>
        </w:r>
        <w:r w:rsidRPr="00D64F06">
          <w:rPr>
            <w:color w:val="004600"/>
            <w:sz w:val="18"/>
            <w:szCs w:val="18"/>
          </w:rPr>
          <w:t>@udea.edu.co</w:t>
        </w:r>
      </w:p>
      <w:p w14:paraId="77F2B79D" w14:textId="77777777" w:rsidR="00685EB0" w:rsidRDefault="00685EB0" w:rsidP="00EC7FA8">
        <w:pPr>
          <w:pStyle w:val="Piedepgina"/>
          <w:jc w:val="center"/>
        </w:pPr>
        <w:r w:rsidRPr="00D64F06">
          <w:rPr>
            <w:color w:val="004600"/>
            <w:sz w:val="18"/>
            <w:szCs w:val="18"/>
          </w:rPr>
          <w:t>NIT 890980040-8 |</w:t>
        </w:r>
        <w:r>
          <w:rPr>
            <w:color w:val="004600"/>
            <w:sz w:val="18"/>
            <w:szCs w:val="18"/>
          </w:rPr>
          <w:t xml:space="preserve"> http://www.udea.edu.co </w:t>
        </w:r>
        <w:r w:rsidRPr="00D64F06">
          <w:rPr>
            <w:color w:val="004600"/>
            <w:sz w:val="18"/>
            <w:szCs w:val="18"/>
          </w:rPr>
          <w:t>| Medellín - Colombia</w:t>
        </w:r>
        <w:r>
          <w:rPr>
            <w:noProof/>
          </w:rPr>
          <w:t xml:space="preserve"> </w:t>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377754"/>
      <w:docPartObj>
        <w:docPartGallery w:val="Page Numbers (Bottom of Page)"/>
        <w:docPartUnique/>
      </w:docPartObj>
    </w:sdtPr>
    <w:sdtEndPr/>
    <w:sdtContent>
      <w:p w14:paraId="4A3CF97A" w14:textId="77777777" w:rsidR="00685EB0" w:rsidRDefault="00685EB0" w:rsidP="00605509">
        <w:pPr>
          <w:pStyle w:val="Piedepgina"/>
          <w:tabs>
            <w:tab w:val="right" w:pos="8931"/>
          </w:tabs>
          <w:ind w:left="-426" w:right="-234"/>
          <w:jc w:val="center"/>
        </w:pPr>
        <w:r>
          <w:rPr>
            <w:noProof/>
          </w:rPr>
          <mc:AlternateContent>
            <mc:Choice Requires="wps">
              <w:drawing>
                <wp:anchor distT="0" distB="0" distL="114300" distR="114300" simplePos="0" relativeHeight="251662336" behindDoc="0" locked="0" layoutInCell="0" allowOverlap="1" wp14:anchorId="5BA005D0" wp14:editId="250BF01B">
                  <wp:simplePos x="0" y="0"/>
                  <wp:positionH relativeFrom="rightMargin">
                    <wp:posOffset>323850</wp:posOffset>
                  </wp:positionH>
                  <wp:positionV relativeFrom="bottomMargin">
                    <wp:posOffset>76200</wp:posOffset>
                  </wp:positionV>
                  <wp:extent cx="368300" cy="274320"/>
                  <wp:effectExtent l="9525" t="9525" r="12700" b="11430"/>
                  <wp:wrapNone/>
                  <wp:docPr id="4" name="Esquina doblada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6CE542F6" w14:textId="77777777" w:rsidR="00685EB0" w:rsidRDefault="00685EB0">
                              <w:pPr>
                                <w:jc w:val="center"/>
                              </w:pPr>
                              <w:r>
                                <w:rPr>
                                  <w:sz w:val="22"/>
                                  <w:szCs w:val="22"/>
                                </w:rPr>
                                <w:fldChar w:fldCharType="begin"/>
                              </w:r>
                              <w:r>
                                <w:instrText>PAGE    \* MERGEFORMAT</w:instrText>
                              </w:r>
                              <w:r>
                                <w:rPr>
                                  <w:sz w:val="22"/>
                                  <w:szCs w:val="22"/>
                                </w:rPr>
                                <w:fldChar w:fldCharType="separate"/>
                              </w:r>
                              <w:r w:rsidRPr="00E83BCE">
                                <w:rPr>
                                  <w:noProof/>
                                  <w:sz w:val="16"/>
                                  <w:szCs w:val="16"/>
                                  <w:lang w:val="es-ES"/>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BA005D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Esquina doblada 4" o:spid="_x0000_s1028" type="#_x0000_t65" style="position:absolute;left:0;text-align:left;margin-left:25.5pt;margin-top:6pt;width:29pt;height:21.6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U2SPgIAAHoEAAAOAAAAZHJzL2Uyb0RvYy54bWysVNtu2zAMfR+wfxD0vjoX97KgTlGk7TCg&#10;2wp0+wBakmNtsqhRSpzu60fLSZduexpmAwJpUkfkOaIvr3adE1tD0aKv5PRkIoXxCrX160p++Xz3&#10;5kKKmMBrcOhNJZ9MlFfL168u+7AwM2zRaUOCQXxc9KGSbUphURRRtaaDeILBeA42SB0kdmldaIKe&#10;0TtXzCaTs6JH0oFQmRj5680YlMuM3zRGpU9NE00SrpJcW8or5bUe1mJ5CYs1QWit2pcB/1BFB9bz&#10;oc9QN5BAbMj+AdVZRRixSScKuwKbxiqTe+BuppPfunlsIZjcC5MTwzNN8f/Bqo/bBxJWV7KUwkPH&#10;Et3G7xvrQWisHWgQ5UBSH+KCcx/DAw1txnCP6lsUHlct+LW5JsK+NaC5tOmQX7zYMDiRt4q6/4Ca&#10;z4BNwszXrqFuAGQmxC7L8vQsi9klofjj/OxiPmHxFIdm5+V8lmUrYHHYHCimdwY7MRiVbIZLpVdI&#10;3lA+BLb3MWV19L5H0F+laDrHWm/BiXl5enYA3Scz/AE2N4zO6jvrXHZoXa8cCd5aybv85J6Zl+M0&#10;50XP1U/PT3MVL2LxGOJiMrx/gyDceJ3v6EDu7d5OYN1oc5XO79keCB6FSrt6lzWdHaSrUT8x/YTj&#10;APDAstEi/ZCi58tfSdYcyEjh3nuW8O20LIdpyU55es6MCzqO1McR8IqhKpmkGM1VGidsE8iuWz5p&#10;mgnweM2yNzYd7sdY1b58vuBsvZigYz9n/fplLH8CAAD//wMAUEsDBBQABgAIAAAAIQC4KE/Y3QAA&#10;AAgBAAAPAAAAZHJzL2Rvd25yZXYueG1sTI9PT8JAEMXvJnyHzZh4MbKlBrC1W0JIjEcjGs5Ld2yL&#10;3dmyu5TKp3c46Wn+vMmb3ytWo+3EgD60jhTMpgkIpMqZlmoFnx8vD08gQtRkdOcIFfxggFU5uSl0&#10;btyZ3nHYxlqwCYVcK2hi7HMpQ9Wg1WHqeiTWvpy3OvLoa2m8PrO57WSaJAtpdUv8odE9bhqsvrcn&#10;q0D2h+FQvWbpzt0f3x4XFy+zy1Kpu9tx/Qwi4hj/juGKz+hQMtPencgE0SmYzzhK5H3K9aonGTd7&#10;FuYpyLKQ/wOUvwAAAP//AwBQSwECLQAUAAYACAAAACEAtoM4kv4AAADhAQAAEwAAAAAAAAAAAAAA&#10;AAAAAAAAW0NvbnRlbnRfVHlwZXNdLnhtbFBLAQItABQABgAIAAAAIQA4/SH/1gAAAJQBAAALAAAA&#10;AAAAAAAAAAAAAC8BAABfcmVscy8ucmVsc1BLAQItABQABgAIAAAAIQD0zU2SPgIAAHoEAAAOAAAA&#10;AAAAAAAAAAAAAC4CAABkcnMvZTJvRG9jLnhtbFBLAQItABQABgAIAAAAIQC4KE/Y3QAAAAgBAAAP&#10;AAAAAAAAAAAAAAAAAJgEAABkcnMvZG93bnJldi54bWxQSwUGAAAAAAQABADzAAAAogUAAAAA&#10;" o:allowincell="f" adj="14135" strokecolor="gray" strokeweight=".25pt">
                  <v:textbox>
                    <w:txbxContent>
                      <w:p w14:paraId="6CE542F6" w14:textId="77777777" w:rsidR="00685EB0" w:rsidRDefault="00685EB0">
                        <w:pPr>
                          <w:jc w:val="center"/>
                        </w:pPr>
                        <w:r>
                          <w:rPr>
                            <w:sz w:val="22"/>
                            <w:szCs w:val="22"/>
                          </w:rPr>
                          <w:fldChar w:fldCharType="begin"/>
                        </w:r>
                        <w:r>
                          <w:instrText>PAGE    \* MERGEFORMAT</w:instrText>
                        </w:r>
                        <w:r>
                          <w:rPr>
                            <w:sz w:val="22"/>
                            <w:szCs w:val="22"/>
                          </w:rPr>
                          <w:fldChar w:fldCharType="separate"/>
                        </w:r>
                        <w:r w:rsidRPr="00E83BCE">
                          <w:rPr>
                            <w:noProof/>
                            <w:sz w:val="16"/>
                            <w:szCs w:val="16"/>
                            <w:lang w:val="es-ES"/>
                          </w:rPr>
                          <w:t>1</w:t>
                        </w:r>
                        <w:r>
                          <w:rPr>
                            <w:sz w:val="16"/>
                            <w:szCs w:val="16"/>
                          </w:rPr>
                          <w:fldChar w:fldCharType="end"/>
                        </w:r>
                      </w:p>
                    </w:txbxContent>
                  </v:textbox>
                  <w10:wrap anchorx="margin" anchory="margin"/>
                </v:shape>
              </w:pict>
            </mc:Fallback>
          </mc:AlternateContent>
        </w:r>
        <w:r>
          <w:tab/>
        </w:r>
      </w:p>
      <w:p w14:paraId="203B9BBB" w14:textId="77777777" w:rsidR="00685EB0" w:rsidRDefault="00685EB0" w:rsidP="00605509">
        <w:pPr>
          <w:pStyle w:val="Piedepgina"/>
          <w:tabs>
            <w:tab w:val="right" w:pos="8931"/>
          </w:tabs>
          <w:ind w:left="-426" w:right="-234"/>
          <w:jc w:val="center"/>
          <w:rPr>
            <w:color w:val="004600"/>
            <w:sz w:val="18"/>
            <w:szCs w:val="18"/>
          </w:rPr>
        </w:pPr>
        <w:r>
          <w:rPr>
            <w:color w:val="004600"/>
            <w:sz w:val="18"/>
            <w:szCs w:val="18"/>
          </w:rPr>
          <w:t>Recepción de correspondencia: C</w:t>
        </w:r>
        <w:r w:rsidRPr="00D64F06">
          <w:rPr>
            <w:color w:val="004600"/>
            <w:sz w:val="18"/>
            <w:szCs w:val="18"/>
          </w:rPr>
          <w:t>alle 70 No. 52 - 21 | Apartado Aéreo 1226 | D</w:t>
        </w:r>
        <w:r>
          <w:rPr>
            <w:color w:val="004600"/>
            <w:sz w:val="18"/>
            <w:szCs w:val="18"/>
          </w:rPr>
          <w:t>irección: calle 67 No. 53 – 108, bloque 16,</w:t>
        </w:r>
      </w:p>
      <w:p w14:paraId="29D229AE" w14:textId="77777777" w:rsidR="00685EB0" w:rsidRDefault="00685EB0" w:rsidP="00605509">
        <w:pPr>
          <w:pStyle w:val="Piedepgina"/>
          <w:tabs>
            <w:tab w:val="right" w:pos="8931"/>
          </w:tabs>
          <w:ind w:left="-426" w:right="-234"/>
          <w:jc w:val="center"/>
          <w:rPr>
            <w:color w:val="004600"/>
            <w:sz w:val="18"/>
            <w:szCs w:val="18"/>
          </w:rPr>
        </w:pPr>
        <w:r>
          <w:rPr>
            <w:color w:val="004600"/>
            <w:sz w:val="18"/>
            <w:szCs w:val="18"/>
          </w:rPr>
          <w:t xml:space="preserve">Oficina 204 </w:t>
        </w:r>
        <w:r w:rsidRPr="00D64F06">
          <w:rPr>
            <w:color w:val="004600"/>
            <w:sz w:val="18"/>
            <w:szCs w:val="18"/>
          </w:rPr>
          <w:t>|</w:t>
        </w:r>
        <w:r>
          <w:rPr>
            <w:color w:val="004600"/>
            <w:sz w:val="18"/>
            <w:szCs w:val="18"/>
          </w:rPr>
          <w:t xml:space="preserve"> Teléfono</w:t>
        </w:r>
        <w:r w:rsidRPr="00D64F06">
          <w:rPr>
            <w:color w:val="004600"/>
            <w:sz w:val="18"/>
            <w:szCs w:val="18"/>
          </w:rPr>
          <w:t xml:space="preserve">: [57+4] 219 </w:t>
        </w:r>
        <w:r>
          <w:rPr>
            <w:color w:val="004600"/>
            <w:sz w:val="18"/>
            <w:szCs w:val="18"/>
          </w:rPr>
          <w:t>5085</w:t>
        </w:r>
        <w:r w:rsidRPr="00D64F06">
          <w:rPr>
            <w:color w:val="004600"/>
            <w:sz w:val="18"/>
            <w:szCs w:val="18"/>
          </w:rPr>
          <w:t xml:space="preserve"> |</w:t>
        </w:r>
        <w:r>
          <w:rPr>
            <w:color w:val="004600"/>
            <w:sz w:val="18"/>
            <w:szCs w:val="18"/>
          </w:rPr>
          <w:t xml:space="preserve"> Fax: 219 1125 </w:t>
        </w:r>
        <w:r w:rsidRPr="00D64F06">
          <w:rPr>
            <w:color w:val="004600"/>
            <w:sz w:val="18"/>
            <w:szCs w:val="18"/>
          </w:rPr>
          <w:t xml:space="preserve">| Correo electrónico: </w:t>
        </w:r>
        <w:r>
          <w:rPr>
            <w:color w:val="004600"/>
            <w:sz w:val="18"/>
            <w:szCs w:val="18"/>
          </w:rPr>
          <w:t>auditoriainstitucional</w:t>
        </w:r>
        <w:r w:rsidRPr="00D64F06">
          <w:rPr>
            <w:color w:val="004600"/>
            <w:sz w:val="18"/>
            <w:szCs w:val="18"/>
          </w:rPr>
          <w:t>@udea.edu.co</w:t>
        </w:r>
      </w:p>
      <w:p w14:paraId="7E95BC64" w14:textId="77777777" w:rsidR="00685EB0" w:rsidRDefault="00685EB0" w:rsidP="00605509">
        <w:pPr>
          <w:pStyle w:val="Piedepgina"/>
          <w:jc w:val="center"/>
        </w:pPr>
        <w:r w:rsidRPr="00D64F06">
          <w:rPr>
            <w:color w:val="004600"/>
            <w:sz w:val="18"/>
            <w:szCs w:val="18"/>
          </w:rPr>
          <w:t>NIT 890980040-8 |</w:t>
        </w:r>
        <w:r>
          <w:rPr>
            <w:color w:val="004600"/>
            <w:sz w:val="18"/>
            <w:szCs w:val="18"/>
          </w:rPr>
          <w:t xml:space="preserve"> http://www.udea.edu.co </w:t>
        </w:r>
        <w:r w:rsidRPr="00D64F06">
          <w:rPr>
            <w:color w:val="004600"/>
            <w:sz w:val="18"/>
            <w:szCs w:val="18"/>
          </w:rPr>
          <w:t>| Medellín - Colombia</w:t>
        </w:r>
        <w:r>
          <w:rPr>
            <w:noProof/>
          </w:rPr>
          <w:t xml:space="preserve"> </w:t>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4E90" w14:textId="77777777" w:rsidR="00685EB0" w:rsidRDefault="00685EB0" w:rsidP="00EC7FA8">
    <w:pPr>
      <w:pStyle w:val="Piedepgina"/>
      <w:tabs>
        <w:tab w:val="right" w:pos="8931"/>
      </w:tabs>
      <w:ind w:left="-426" w:right="-234"/>
      <w:jc w:val="center"/>
    </w:pPr>
    <w:r>
      <w:rPr>
        <w:noProof/>
      </w:rPr>
      <mc:AlternateContent>
        <mc:Choice Requires="wps">
          <w:drawing>
            <wp:anchor distT="0" distB="0" distL="114300" distR="114300" simplePos="0" relativeHeight="251664384" behindDoc="0" locked="0" layoutInCell="0" allowOverlap="1" wp14:anchorId="450D5929" wp14:editId="2C22595B">
              <wp:simplePos x="0" y="0"/>
              <wp:positionH relativeFrom="rightMargin">
                <wp:posOffset>234696</wp:posOffset>
              </wp:positionH>
              <wp:positionV relativeFrom="bottomMargin">
                <wp:posOffset>95122</wp:posOffset>
              </wp:positionV>
              <wp:extent cx="368300" cy="321869"/>
              <wp:effectExtent l="0" t="0" r="12700" b="21590"/>
              <wp:wrapNone/>
              <wp:docPr id="20" name="Esquina doblada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21869"/>
                      </a:xfrm>
                      <a:prstGeom prst="foldedCorner">
                        <a:avLst>
                          <a:gd name="adj" fmla="val 34560"/>
                        </a:avLst>
                      </a:prstGeom>
                      <a:solidFill>
                        <a:srgbClr val="FFFFFF"/>
                      </a:solidFill>
                      <a:ln w="3175">
                        <a:solidFill>
                          <a:srgbClr val="808080"/>
                        </a:solidFill>
                        <a:round/>
                        <a:headEnd/>
                        <a:tailEnd/>
                      </a:ln>
                    </wps:spPr>
                    <wps:txbx>
                      <w:txbxContent>
                        <w:p w14:paraId="3246D612" w14:textId="79288B9D" w:rsidR="00685EB0" w:rsidRDefault="00685EB0" w:rsidP="005E369C">
                          <w:pPr>
                            <w:jc w:val="center"/>
                          </w:pPr>
                          <w:r>
                            <w:rPr>
                              <w:sz w:val="22"/>
                              <w:szCs w:val="22"/>
                            </w:rPr>
                            <w:fldChar w:fldCharType="begin"/>
                          </w:r>
                          <w:r>
                            <w:instrText>PAGE    \* MERGEFORMAT</w:instrText>
                          </w:r>
                          <w:r>
                            <w:rPr>
                              <w:sz w:val="22"/>
                              <w:szCs w:val="22"/>
                            </w:rPr>
                            <w:fldChar w:fldCharType="separate"/>
                          </w:r>
                          <w:r w:rsidR="000F3B1D" w:rsidRPr="000F3B1D">
                            <w:rPr>
                              <w:noProof/>
                              <w:sz w:val="16"/>
                              <w:szCs w:val="16"/>
                              <w:lang w:val="es-ES"/>
                            </w:rPr>
                            <w:t>18</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D592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Esquina doblada 8" o:spid="_x0000_s1028" type="#_x0000_t65" style="position:absolute;left:0;text-align:left;margin-left:18.5pt;margin-top:7.5pt;width:29pt;height:25.35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fyQQIAAHsEAAAOAAAAZHJzL2Uyb0RvYy54bWysVMFu2zAMvQ/YPwi6r46TNE2NOkWRtsOA&#10;bivQ7QNoS461yaJHKXG6ry8lp1267TTMBgTSlJ4eH0lfXO47K3aavEFXyvxkIoV2NSrjNqX8+uX2&#10;3VIKH8ApsOh0KR+1l5ert28uhr7QU2zRKk2CQZwvhr6UbQh9kWW+bnUH/gR77TjYIHUQ2KVNpggG&#10;Ru9sNp1MFtmApHrCWnvPX6/HoFwl/KbRdfjcNF4HYUvJ3EJaKa1VXLPVBRQbgr419YEG/AOLDozj&#10;S1+griGA2JL5A6ozNaHHJpzU2GXYNKbWKQfOJp/8ls1DC71OubA4vn+Ryf8/2PrT7p6EUaWcsjwO&#10;Oq7Rjf+xNQ6EwsqCArGMKg29L3jzQ39PMU/f32H93QuH6xbcRl8R4dBqUMwtj/uzVwei4/moqIaP&#10;qPgO2AZMgu0b6iIgSyH2qS6PL3XR+yBq/jhbLGcTpldzaDbNl4vzdAMUz4d78uG9xk5Eo5RN7Cq1&#10;RnKa0iWwu/MhlUcdcgT1TYqms1zsHVgxm58uUjNkUBw2s/UMmxJGa9StsTY5tKnWlgQfLeVteg6M&#10;/PE268TAjPOz08TiVcwfQywn8f0bBOHWqdSkUdybgx3A2NFmltYd1I4Cj4UK+2o/FjViRvErVI8s&#10;P+E4ATyxbLRIP6UYuPtLyTUH0lLYD45LeJ7P53FckjM/PYvNQceR6jgCrmaoUgYpRnMdxhHb9mQ2&#10;Ld+UJwEcXnHZGxOe+2NkdaDPHc7WqxE69tOuX/+M1RMAAAD//wMAUEsDBBQABgAIAAAAIQBQtOGP&#10;3AAAAAcBAAAPAAAAZHJzL2Rvd25yZXYueG1sTI9BT8MwDIXvSPyHyEhc0Jayae1amk4ICXFEDMQ5&#10;a0zb0TglybqyX493Gqcn+1nP3ys3k+3FiD50jhTczxMQSLUzHTUKPt6fZ2sQIWoyuneECn4xwKa6&#10;vip1YdyR3nDcxkZwCIVCK2hjHAopQ92i1WHuBiT2vpy3OvLoG2m8PnK47eUiSVJpdUf8odUDPrVY&#10;f28PVoEc9uO+fskXn+7u53WZnrzMT5lStzfT4wOIiFO8HMMZn9GhYqadO5AJolewzLhK5P2Klf38&#10;rDsF6SoDWZXyP3/1BwAA//8DAFBLAQItABQABgAIAAAAIQC2gziS/gAAAOEBAAATAAAAAAAAAAAA&#10;AAAAAAAAAABbQ29udGVudF9UeXBlc10ueG1sUEsBAi0AFAAGAAgAAAAhADj9If/WAAAAlAEAAAsA&#10;AAAAAAAAAAAAAAAALwEAAF9yZWxzLy5yZWxzUEsBAi0AFAAGAAgAAAAhANhld/JBAgAAewQAAA4A&#10;AAAAAAAAAAAAAAAALgIAAGRycy9lMm9Eb2MueG1sUEsBAi0AFAAGAAgAAAAhAFC04Y/cAAAABwEA&#10;AA8AAAAAAAAAAAAAAAAAmwQAAGRycy9kb3ducmV2LnhtbFBLBQYAAAAABAAEAPMAAACkBQAAAAA=&#10;" o:allowincell="f" adj="14135" strokecolor="gray" strokeweight=".25pt">
              <v:textbox>
                <w:txbxContent>
                  <w:p w14:paraId="3246D612" w14:textId="79288B9D" w:rsidR="00685EB0" w:rsidRDefault="00685EB0" w:rsidP="005E369C">
                    <w:pPr>
                      <w:jc w:val="center"/>
                    </w:pPr>
                    <w:r>
                      <w:rPr>
                        <w:sz w:val="22"/>
                        <w:szCs w:val="22"/>
                      </w:rPr>
                      <w:fldChar w:fldCharType="begin"/>
                    </w:r>
                    <w:r>
                      <w:instrText>PAGE    \* MERGEFORMAT</w:instrText>
                    </w:r>
                    <w:r>
                      <w:rPr>
                        <w:sz w:val="22"/>
                        <w:szCs w:val="22"/>
                      </w:rPr>
                      <w:fldChar w:fldCharType="separate"/>
                    </w:r>
                    <w:r w:rsidR="000F3B1D" w:rsidRPr="000F3B1D">
                      <w:rPr>
                        <w:noProof/>
                        <w:sz w:val="16"/>
                        <w:szCs w:val="16"/>
                        <w:lang w:val="es-ES"/>
                      </w:rPr>
                      <w:t>18</w:t>
                    </w:r>
                    <w:r>
                      <w:rPr>
                        <w:sz w:val="16"/>
                        <w:szCs w:val="16"/>
                      </w:rPr>
                      <w:fldChar w:fldCharType="end"/>
                    </w:r>
                  </w:p>
                </w:txbxContent>
              </v:textbox>
              <w10:wrap anchorx="margin" anchory="margin"/>
            </v:shape>
          </w:pict>
        </mc:Fallback>
      </mc:AlternateContent>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86BF6" w14:textId="77777777" w:rsidR="00930973" w:rsidRDefault="00930973" w:rsidP="003E6B99">
      <w:r>
        <w:separator/>
      </w:r>
    </w:p>
  </w:footnote>
  <w:footnote w:type="continuationSeparator" w:id="0">
    <w:p w14:paraId="054C56B7" w14:textId="77777777" w:rsidR="00930973" w:rsidRDefault="00930973" w:rsidP="003E6B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F505F" w14:textId="77777777" w:rsidR="00685EB0" w:rsidRDefault="00685EB0" w:rsidP="003E6B99">
    <w:pPr>
      <w:pStyle w:val="Encabezado"/>
      <w:tabs>
        <w:tab w:val="clear" w:pos="4419"/>
        <w:tab w:val="clear" w:pos="8838"/>
        <w:tab w:val="left" w:pos="3645"/>
      </w:tabs>
    </w:pPr>
    <w:r>
      <w:rPr>
        <w:noProof/>
      </w:rPr>
      <w:drawing>
        <wp:anchor distT="0" distB="0" distL="114300" distR="114300" simplePos="0" relativeHeight="251659264" behindDoc="1" locked="0" layoutInCell="1" allowOverlap="1" wp14:anchorId="5414063F" wp14:editId="1F4077AE">
          <wp:simplePos x="0" y="0"/>
          <wp:positionH relativeFrom="column">
            <wp:posOffset>-54600</wp:posOffset>
          </wp:positionH>
          <wp:positionV relativeFrom="paragraph">
            <wp:posOffset>224032</wp:posOffset>
          </wp:positionV>
          <wp:extent cx="2514600" cy="827723"/>
          <wp:effectExtent l="0" t="0" r="0" b="0"/>
          <wp:wrapNone/>
          <wp:docPr id="22" name="Imagen 22" descr="C:\Users\Leidy.Roldan\Downloads\Oficina de Auditoría Instituc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Leidy.Roldan\Downloads\Oficina de Auditoría Institucio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827723"/>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B4036" w14:textId="77777777" w:rsidR="00685EB0" w:rsidRDefault="00685EB0">
    <w:pPr>
      <w:pStyle w:val="Encabezado"/>
    </w:pPr>
    <w:r>
      <w:rPr>
        <w:noProof/>
      </w:rPr>
      <w:drawing>
        <wp:anchor distT="0" distB="0" distL="114300" distR="114300" simplePos="0" relativeHeight="251660288" behindDoc="1" locked="0" layoutInCell="1" allowOverlap="1" wp14:anchorId="073C0B0E" wp14:editId="2580DE72">
          <wp:simplePos x="0" y="0"/>
          <wp:positionH relativeFrom="column">
            <wp:posOffset>0</wp:posOffset>
          </wp:positionH>
          <wp:positionV relativeFrom="paragraph">
            <wp:posOffset>0</wp:posOffset>
          </wp:positionV>
          <wp:extent cx="2514600" cy="827723"/>
          <wp:effectExtent l="0" t="0" r="0" b="0"/>
          <wp:wrapNone/>
          <wp:docPr id="23" name="Imagen 23" descr="C:\Users\Leidy.Roldan\Downloads\Oficina de Auditoría Instituc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Leidy.Roldan\Downloads\Oficina de Auditoría Institucio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82772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4F062" w14:textId="77777777" w:rsidR="00685EB0" w:rsidRDefault="00685EB0" w:rsidP="003E6B99">
    <w:pPr>
      <w:pStyle w:val="Encabezado"/>
      <w:tabs>
        <w:tab w:val="clear" w:pos="4419"/>
        <w:tab w:val="clear" w:pos="8838"/>
        <w:tab w:val="left" w:pos="3645"/>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F87C1" w14:textId="77777777" w:rsidR="00685EB0" w:rsidRPr="00C40133" w:rsidRDefault="00685EB0" w:rsidP="00C40133">
    <w:pPr>
      <w:pStyle w:val="Encabezado"/>
    </w:pPr>
    <w:r>
      <w:rPr>
        <w:noProof/>
      </w:rPr>
      <w:drawing>
        <wp:anchor distT="0" distB="0" distL="114300" distR="114300" simplePos="0" relativeHeight="251665408" behindDoc="1" locked="0" layoutInCell="1" allowOverlap="1" wp14:anchorId="5606F2BB" wp14:editId="639ACF3E">
          <wp:simplePos x="0" y="0"/>
          <wp:positionH relativeFrom="column">
            <wp:posOffset>0</wp:posOffset>
          </wp:positionH>
          <wp:positionV relativeFrom="paragraph">
            <wp:posOffset>-635</wp:posOffset>
          </wp:positionV>
          <wp:extent cx="2514600" cy="827723"/>
          <wp:effectExtent l="0" t="0" r="0" b="0"/>
          <wp:wrapNone/>
          <wp:docPr id="32" name="Imagen 32" descr="C:\Users\Leidy.Roldan\Downloads\Oficina de Auditoría Instituc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Leidy.Roldan\Downloads\Oficina de Auditoría Institucio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82772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3D8B0" w14:textId="204EAE79" w:rsidR="00685EB0" w:rsidRPr="00A3404B" w:rsidRDefault="00685EB0" w:rsidP="00C40133">
    <w:pPr>
      <w:pStyle w:val="Encabezado"/>
      <w:rPr>
        <w:i/>
        <w:sz w:val="22"/>
      </w:rPr>
    </w:pPr>
    <w:r w:rsidRPr="00A3404B">
      <w:rPr>
        <w:i/>
        <w:sz w:val="22"/>
      </w:rPr>
      <w:t>Informe Análisis Información Proyecto Complejo de la Salud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995D9D4"/>
    <w:multiLevelType w:val="hybridMultilevel"/>
    <w:tmpl w:val="C40DC1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44D6B"/>
    <w:multiLevelType w:val="hybridMultilevel"/>
    <w:tmpl w:val="A01A7E52"/>
    <w:lvl w:ilvl="0" w:tplc="90E65B22">
      <w:start w:val="1"/>
      <w:numFmt w:val="bullet"/>
      <w:lvlText w:val=""/>
      <w:lvlJc w:val="left"/>
      <w:pPr>
        <w:tabs>
          <w:tab w:val="num" w:pos="720"/>
        </w:tabs>
        <w:ind w:left="720" w:hanging="360"/>
      </w:pPr>
      <w:rPr>
        <w:rFonts w:ascii="Wingdings" w:hAnsi="Wingdings" w:hint="default"/>
      </w:rPr>
    </w:lvl>
    <w:lvl w:ilvl="1" w:tplc="9560028A" w:tentative="1">
      <w:start w:val="1"/>
      <w:numFmt w:val="bullet"/>
      <w:lvlText w:val=""/>
      <w:lvlJc w:val="left"/>
      <w:pPr>
        <w:tabs>
          <w:tab w:val="num" w:pos="1440"/>
        </w:tabs>
        <w:ind w:left="1440" w:hanging="360"/>
      </w:pPr>
      <w:rPr>
        <w:rFonts w:ascii="Wingdings" w:hAnsi="Wingdings" w:hint="default"/>
      </w:rPr>
    </w:lvl>
    <w:lvl w:ilvl="2" w:tplc="C8E22E0A" w:tentative="1">
      <w:start w:val="1"/>
      <w:numFmt w:val="bullet"/>
      <w:lvlText w:val=""/>
      <w:lvlJc w:val="left"/>
      <w:pPr>
        <w:tabs>
          <w:tab w:val="num" w:pos="2160"/>
        </w:tabs>
        <w:ind w:left="2160" w:hanging="360"/>
      </w:pPr>
      <w:rPr>
        <w:rFonts w:ascii="Wingdings" w:hAnsi="Wingdings" w:hint="default"/>
      </w:rPr>
    </w:lvl>
    <w:lvl w:ilvl="3" w:tplc="AC722F04" w:tentative="1">
      <w:start w:val="1"/>
      <w:numFmt w:val="bullet"/>
      <w:lvlText w:val=""/>
      <w:lvlJc w:val="left"/>
      <w:pPr>
        <w:tabs>
          <w:tab w:val="num" w:pos="2880"/>
        </w:tabs>
        <w:ind w:left="2880" w:hanging="360"/>
      </w:pPr>
      <w:rPr>
        <w:rFonts w:ascii="Wingdings" w:hAnsi="Wingdings" w:hint="default"/>
      </w:rPr>
    </w:lvl>
    <w:lvl w:ilvl="4" w:tplc="082CDECA" w:tentative="1">
      <w:start w:val="1"/>
      <w:numFmt w:val="bullet"/>
      <w:lvlText w:val=""/>
      <w:lvlJc w:val="left"/>
      <w:pPr>
        <w:tabs>
          <w:tab w:val="num" w:pos="3600"/>
        </w:tabs>
        <w:ind w:left="3600" w:hanging="360"/>
      </w:pPr>
      <w:rPr>
        <w:rFonts w:ascii="Wingdings" w:hAnsi="Wingdings" w:hint="default"/>
      </w:rPr>
    </w:lvl>
    <w:lvl w:ilvl="5" w:tplc="8D3E19C2" w:tentative="1">
      <w:start w:val="1"/>
      <w:numFmt w:val="bullet"/>
      <w:lvlText w:val=""/>
      <w:lvlJc w:val="left"/>
      <w:pPr>
        <w:tabs>
          <w:tab w:val="num" w:pos="4320"/>
        </w:tabs>
        <w:ind w:left="4320" w:hanging="360"/>
      </w:pPr>
      <w:rPr>
        <w:rFonts w:ascii="Wingdings" w:hAnsi="Wingdings" w:hint="default"/>
      </w:rPr>
    </w:lvl>
    <w:lvl w:ilvl="6" w:tplc="A4582BD2" w:tentative="1">
      <w:start w:val="1"/>
      <w:numFmt w:val="bullet"/>
      <w:lvlText w:val=""/>
      <w:lvlJc w:val="left"/>
      <w:pPr>
        <w:tabs>
          <w:tab w:val="num" w:pos="5040"/>
        </w:tabs>
        <w:ind w:left="5040" w:hanging="360"/>
      </w:pPr>
      <w:rPr>
        <w:rFonts w:ascii="Wingdings" w:hAnsi="Wingdings" w:hint="default"/>
      </w:rPr>
    </w:lvl>
    <w:lvl w:ilvl="7" w:tplc="9E2CA00E" w:tentative="1">
      <w:start w:val="1"/>
      <w:numFmt w:val="bullet"/>
      <w:lvlText w:val=""/>
      <w:lvlJc w:val="left"/>
      <w:pPr>
        <w:tabs>
          <w:tab w:val="num" w:pos="5760"/>
        </w:tabs>
        <w:ind w:left="5760" w:hanging="360"/>
      </w:pPr>
      <w:rPr>
        <w:rFonts w:ascii="Wingdings" w:hAnsi="Wingdings" w:hint="default"/>
      </w:rPr>
    </w:lvl>
    <w:lvl w:ilvl="8" w:tplc="AA0E86D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C6424B"/>
    <w:multiLevelType w:val="hybridMultilevel"/>
    <w:tmpl w:val="CE6C8DAA"/>
    <w:lvl w:ilvl="0" w:tplc="988837AC">
      <w:start w:val="1"/>
      <w:numFmt w:val="bullet"/>
      <w:lvlText w:val=""/>
      <w:lvlJc w:val="left"/>
      <w:pPr>
        <w:ind w:left="720" w:hanging="360"/>
      </w:pPr>
      <w:rPr>
        <w:rFonts w:ascii="Wingdings" w:hAnsi="Wingdings" w:hint="default"/>
        <w:b/>
        <w:i w:val="0"/>
        <w:color w:val="538135" w:themeColor="accent6" w:themeShade="BF"/>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27B61A2"/>
    <w:multiLevelType w:val="multilevel"/>
    <w:tmpl w:val="C332DD3A"/>
    <w:lvl w:ilvl="0">
      <w:start w:val="6"/>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3B13CE0"/>
    <w:multiLevelType w:val="hybridMultilevel"/>
    <w:tmpl w:val="353CCAF6"/>
    <w:lvl w:ilvl="0" w:tplc="988837AC">
      <w:start w:val="1"/>
      <w:numFmt w:val="bullet"/>
      <w:lvlText w:val=""/>
      <w:lvlJc w:val="left"/>
      <w:pPr>
        <w:ind w:left="720" w:hanging="360"/>
      </w:pPr>
      <w:rPr>
        <w:rFonts w:ascii="Wingdings" w:hAnsi="Wingdings" w:hint="default"/>
        <w:b/>
        <w:i w:val="0"/>
        <w:color w:val="538135" w:themeColor="accent6" w:themeShade="BF"/>
        <w:sz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4904660"/>
    <w:multiLevelType w:val="hybridMultilevel"/>
    <w:tmpl w:val="3A508C44"/>
    <w:lvl w:ilvl="0" w:tplc="988837AC">
      <w:start w:val="1"/>
      <w:numFmt w:val="bullet"/>
      <w:lvlText w:val=""/>
      <w:lvlJc w:val="left"/>
      <w:pPr>
        <w:ind w:left="720" w:hanging="360"/>
      </w:pPr>
      <w:rPr>
        <w:rFonts w:ascii="Wingdings" w:hAnsi="Wingdings" w:hint="default"/>
        <w:b/>
        <w:i w:val="0"/>
        <w:color w:val="538135" w:themeColor="accent6" w:themeShade="BF"/>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66032ED"/>
    <w:multiLevelType w:val="hybridMultilevel"/>
    <w:tmpl w:val="C9D20A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6AA4760"/>
    <w:multiLevelType w:val="hybridMultilevel"/>
    <w:tmpl w:val="BEF438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786568A"/>
    <w:multiLevelType w:val="hybridMultilevel"/>
    <w:tmpl w:val="49CCA69A"/>
    <w:lvl w:ilvl="0" w:tplc="988837AC">
      <w:start w:val="1"/>
      <w:numFmt w:val="bullet"/>
      <w:lvlText w:val=""/>
      <w:lvlJc w:val="left"/>
      <w:pPr>
        <w:ind w:left="720" w:hanging="360"/>
      </w:pPr>
      <w:rPr>
        <w:rFonts w:ascii="Wingdings" w:hAnsi="Wingdings" w:hint="default"/>
        <w:b/>
        <w:i w:val="0"/>
        <w:color w:val="538135" w:themeColor="accent6" w:themeShade="BF"/>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8292BB2"/>
    <w:multiLevelType w:val="hybridMultilevel"/>
    <w:tmpl w:val="FDEE54E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97B5407"/>
    <w:multiLevelType w:val="hybridMultilevel"/>
    <w:tmpl w:val="BAAAB6F4"/>
    <w:lvl w:ilvl="0" w:tplc="988837AC">
      <w:start w:val="1"/>
      <w:numFmt w:val="bullet"/>
      <w:lvlText w:val=""/>
      <w:lvlJc w:val="left"/>
      <w:pPr>
        <w:ind w:left="720" w:hanging="360"/>
      </w:pPr>
      <w:rPr>
        <w:rFonts w:ascii="Wingdings" w:hAnsi="Wingdings" w:hint="default"/>
        <w:b/>
        <w:i w:val="0"/>
        <w:color w:val="538135" w:themeColor="accent6" w:themeShade="BF"/>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0E923218"/>
    <w:multiLevelType w:val="hybridMultilevel"/>
    <w:tmpl w:val="09AA139A"/>
    <w:lvl w:ilvl="0" w:tplc="988837AC">
      <w:start w:val="1"/>
      <w:numFmt w:val="bullet"/>
      <w:lvlText w:val=""/>
      <w:lvlJc w:val="left"/>
      <w:pPr>
        <w:ind w:left="1080" w:hanging="720"/>
      </w:pPr>
      <w:rPr>
        <w:rFonts w:ascii="Wingdings" w:hAnsi="Wingdings" w:hint="default"/>
        <w:b/>
        <w:i w:val="0"/>
        <w:color w:val="538135" w:themeColor="accent6" w:themeShade="BF"/>
        <w:sz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06E7EB7"/>
    <w:multiLevelType w:val="hybridMultilevel"/>
    <w:tmpl w:val="0E52E6DA"/>
    <w:lvl w:ilvl="0" w:tplc="988837AC">
      <w:start w:val="1"/>
      <w:numFmt w:val="bullet"/>
      <w:lvlText w:val=""/>
      <w:lvlJc w:val="left"/>
      <w:pPr>
        <w:ind w:left="720" w:hanging="360"/>
      </w:pPr>
      <w:rPr>
        <w:rFonts w:ascii="Wingdings" w:hAnsi="Wingdings" w:hint="default"/>
        <w:b/>
        <w:i w:val="0"/>
        <w:color w:val="538135" w:themeColor="accent6" w:themeShade="BF"/>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2366133"/>
    <w:multiLevelType w:val="hybridMultilevel"/>
    <w:tmpl w:val="78327BF8"/>
    <w:lvl w:ilvl="0" w:tplc="988837AC">
      <w:start w:val="1"/>
      <w:numFmt w:val="bullet"/>
      <w:lvlText w:val=""/>
      <w:lvlJc w:val="left"/>
      <w:pPr>
        <w:ind w:left="720" w:hanging="360"/>
      </w:pPr>
      <w:rPr>
        <w:rFonts w:ascii="Wingdings" w:hAnsi="Wingdings" w:hint="default"/>
        <w:b/>
        <w:i w:val="0"/>
        <w:color w:val="538135" w:themeColor="accent6" w:themeShade="BF"/>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3282AE5"/>
    <w:multiLevelType w:val="hybridMultilevel"/>
    <w:tmpl w:val="9E4A14E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4152403"/>
    <w:multiLevelType w:val="hybridMultilevel"/>
    <w:tmpl w:val="A476D826"/>
    <w:lvl w:ilvl="0" w:tplc="988837AC">
      <w:start w:val="1"/>
      <w:numFmt w:val="bullet"/>
      <w:lvlText w:val=""/>
      <w:lvlJc w:val="left"/>
      <w:pPr>
        <w:ind w:left="720" w:hanging="360"/>
      </w:pPr>
      <w:rPr>
        <w:rFonts w:ascii="Wingdings" w:hAnsi="Wingdings" w:hint="default"/>
        <w:b/>
        <w:i w:val="0"/>
        <w:color w:val="538135" w:themeColor="accent6" w:themeShade="BF"/>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61E3AAD"/>
    <w:multiLevelType w:val="hybridMultilevel"/>
    <w:tmpl w:val="91E695EC"/>
    <w:lvl w:ilvl="0" w:tplc="0E4A7BEC">
      <w:start w:val="1"/>
      <w:numFmt w:val="bullet"/>
      <w:lvlText w:val=""/>
      <w:lvlJc w:val="left"/>
      <w:pPr>
        <w:tabs>
          <w:tab w:val="num" w:pos="720"/>
        </w:tabs>
        <w:ind w:left="720" w:hanging="360"/>
      </w:pPr>
      <w:rPr>
        <w:rFonts w:ascii="Wingdings" w:hAnsi="Wingdings" w:hint="default"/>
      </w:rPr>
    </w:lvl>
    <w:lvl w:ilvl="1" w:tplc="751E8126" w:tentative="1">
      <w:start w:val="1"/>
      <w:numFmt w:val="bullet"/>
      <w:lvlText w:val=""/>
      <w:lvlJc w:val="left"/>
      <w:pPr>
        <w:tabs>
          <w:tab w:val="num" w:pos="1440"/>
        </w:tabs>
        <w:ind w:left="1440" w:hanging="360"/>
      </w:pPr>
      <w:rPr>
        <w:rFonts w:ascii="Wingdings" w:hAnsi="Wingdings" w:hint="default"/>
      </w:rPr>
    </w:lvl>
    <w:lvl w:ilvl="2" w:tplc="3192063C" w:tentative="1">
      <w:start w:val="1"/>
      <w:numFmt w:val="bullet"/>
      <w:lvlText w:val=""/>
      <w:lvlJc w:val="left"/>
      <w:pPr>
        <w:tabs>
          <w:tab w:val="num" w:pos="2160"/>
        </w:tabs>
        <w:ind w:left="2160" w:hanging="360"/>
      </w:pPr>
      <w:rPr>
        <w:rFonts w:ascii="Wingdings" w:hAnsi="Wingdings" w:hint="default"/>
      </w:rPr>
    </w:lvl>
    <w:lvl w:ilvl="3" w:tplc="99AAB724" w:tentative="1">
      <w:start w:val="1"/>
      <w:numFmt w:val="bullet"/>
      <w:lvlText w:val=""/>
      <w:lvlJc w:val="left"/>
      <w:pPr>
        <w:tabs>
          <w:tab w:val="num" w:pos="2880"/>
        </w:tabs>
        <w:ind w:left="2880" w:hanging="360"/>
      </w:pPr>
      <w:rPr>
        <w:rFonts w:ascii="Wingdings" w:hAnsi="Wingdings" w:hint="default"/>
      </w:rPr>
    </w:lvl>
    <w:lvl w:ilvl="4" w:tplc="809E8F84" w:tentative="1">
      <w:start w:val="1"/>
      <w:numFmt w:val="bullet"/>
      <w:lvlText w:val=""/>
      <w:lvlJc w:val="left"/>
      <w:pPr>
        <w:tabs>
          <w:tab w:val="num" w:pos="3600"/>
        </w:tabs>
        <w:ind w:left="3600" w:hanging="360"/>
      </w:pPr>
      <w:rPr>
        <w:rFonts w:ascii="Wingdings" w:hAnsi="Wingdings" w:hint="default"/>
      </w:rPr>
    </w:lvl>
    <w:lvl w:ilvl="5" w:tplc="6700D6F2" w:tentative="1">
      <w:start w:val="1"/>
      <w:numFmt w:val="bullet"/>
      <w:lvlText w:val=""/>
      <w:lvlJc w:val="left"/>
      <w:pPr>
        <w:tabs>
          <w:tab w:val="num" w:pos="4320"/>
        </w:tabs>
        <w:ind w:left="4320" w:hanging="360"/>
      </w:pPr>
      <w:rPr>
        <w:rFonts w:ascii="Wingdings" w:hAnsi="Wingdings" w:hint="default"/>
      </w:rPr>
    </w:lvl>
    <w:lvl w:ilvl="6" w:tplc="B888B57A" w:tentative="1">
      <w:start w:val="1"/>
      <w:numFmt w:val="bullet"/>
      <w:lvlText w:val=""/>
      <w:lvlJc w:val="left"/>
      <w:pPr>
        <w:tabs>
          <w:tab w:val="num" w:pos="5040"/>
        </w:tabs>
        <w:ind w:left="5040" w:hanging="360"/>
      </w:pPr>
      <w:rPr>
        <w:rFonts w:ascii="Wingdings" w:hAnsi="Wingdings" w:hint="default"/>
      </w:rPr>
    </w:lvl>
    <w:lvl w:ilvl="7" w:tplc="7C181320" w:tentative="1">
      <w:start w:val="1"/>
      <w:numFmt w:val="bullet"/>
      <w:lvlText w:val=""/>
      <w:lvlJc w:val="left"/>
      <w:pPr>
        <w:tabs>
          <w:tab w:val="num" w:pos="5760"/>
        </w:tabs>
        <w:ind w:left="5760" w:hanging="360"/>
      </w:pPr>
      <w:rPr>
        <w:rFonts w:ascii="Wingdings" w:hAnsi="Wingdings" w:hint="default"/>
      </w:rPr>
    </w:lvl>
    <w:lvl w:ilvl="8" w:tplc="06C40B5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271CCE"/>
    <w:multiLevelType w:val="hybridMultilevel"/>
    <w:tmpl w:val="82E62840"/>
    <w:lvl w:ilvl="0" w:tplc="91B6574E">
      <w:start w:val="1"/>
      <w:numFmt w:val="bullet"/>
      <w:lvlText w:val=""/>
      <w:lvlJc w:val="left"/>
      <w:pPr>
        <w:tabs>
          <w:tab w:val="num" w:pos="720"/>
        </w:tabs>
        <w:ind w:left="720" w:hanging="360"/>
      </w:pPr>
      <w:rPr>
        <w:rFonts w:ascii="Wingdings" w:hAnsi="Wingdings" w:hint="default"/>
      </w:rPr>
    </w:lvl>
    <w:lvl w:ilvl="1" w:tplc="AA9258F4" w:tentative="1">
      <w:start w:val="1"/>
      <w:numFmt w:val="bullet"/>
      <w:lvlText w:val=""/>
      <w:lvlJc w:val="left"/>
      <w:pPr>
        <w:tabs>
          <w:tab w:val="num" w:pos="1440"/>
        </w:tabs>
        <w:ind w:left="1440" w:hanging="360"/>
      </w:pPr>
      <w:rPr>
        <w:rFonts w:ascii="Wingdings" w:hAnsi="Wingdings" w:hint="default"/>
      </w:rPr>
    </w:lvl>
    <w:lvl w:ilvl="2" w:tplc="14D6C6BC" w:tentative="1">
      <w:start w:val="1"/>
      <w:numFmt w:val="bullet"/>
      <w:lvlText w:val=""/>
      <w:lvlJc w:val="left"/>
      <w:pPr>
        <w:tabs>
          <w:tab w:val="num" w:pos="2160"/>
        </w:tabs>
        <w:ind w:left="2160" w:hanging="360"/>
      </w:pPr>
      <w:rPr>
        <w:rFonts w:ascii="Wingdings" w:hAnsi="Wingdings" w:hint="default"/>
      </w:rPr>
    </w:lvl>
    <w:lvl w:ilvl="3" w:tplc="B5A28398" w:tentative="1">
      <w:start w:val="1"/>
      <w:numFmt w:val="bullet"/>
      <w:lvlText w:val=""/>
      <w:lvlJc w:val="left"/>
      <w:pPr>
        <w:tabs>
          <w:tab w:val="num" w:pos="2880"/>
        </w:tabs>
        <w:ind w:left="2880" w:hanging="360"/>
      </w:pPr>
      <w:rPr>
        <w:rFonts w:ascii="Wingdings" w:hAnsi="Wingdings" w:hint="default"/>
      </w:rPr>
    </w:lvl>
    <w:lvl w:ilvl="4" w:tplc="D570D2EA" w:tentative="1">
      <w:start w:val="1"/>
      <w:numFmt w:val="bullet"/>
      <w:lvlText w:val=""/>
      <w:lvlJc w:val="left"/>
      <w:pPr>
        <w:tabs>
          <w:tab w:val="num" w:pos="3600"/>
        </w:tabs>
        <w:ind w:left="3600" w:hanging="360"/>
      </w:pPr>
      <w:rPr>
        <w:rFonts w:ascii="Wingdings" w:hAnsi="Wingdings" w:hint="default"/>
      </w:rPr>
    </w:lvl>
    <w:lvl w:ilvl="5" w:tplc="D278EECE" w:tentative="1">
      <w:start w:val="1"/>
      <w:numFmt w:val="bullet"/>
      <w:lvlText w:val=""/>
      <w:lvlJc w:val="left"/>
      <w:pPr>
        <w:tabs>
          <w:tab w:val="num" w:pos="4320"/>
        </w:tabs>
        <w:ind w:left="4320" w:hanging="360"/>
      </w:pPr>
      <w:rPr>
        <w:rFonts w:ascii="Wingdings" w:hAnsi="Wingdings" w:hint="default"/>
      </w:rPr>
    </w:lvl>
    <w:lvl w:ilvl="6" w:tplc="DF0EB46C" w:tentative="1">
      <w:start w:val="1"/>
      <w:numFmt w:val="bullet"/>
      <w:lvlText w:val=""/>
      <w:lvlJc w:val="left"/>
      <w:pPr>
        <w:tabs>
          <w:tab w:val="num" w:pos="5040"/>
        </w:tabs>
        <w:ind w:left="5040" w:hanging="360"/>
      </w:pPr>
      <w:rPr>
        <w:rFonts w:ascii="Wingdings" w:hAnsi="Wingdings" w:hint="default"/>
      </w:rPr>
    </w:lvl>
    <w:lvl w:ilvl="7" w:tplc="1E9E187C" w:tentative="1">
      <w:start w:val="1"/>
      <w:numFmt w:val="bullet"/>
      <w:lvlText w:val=""/>
      <w:lvlJc w:val="left"/>
      <w:pPr>
        <w:tabs>
          <w:tab w:val="num" w:pos="5760"/>
        </w:tabs>
        <w:ind w:left="5760" w:hanging="360"/>
      </w:pPr>
      <w:rPr>
        <w:rFonts w:ascii="Wingdings" w:hAnsi="Wingdings" w:hint="default"/>
      </w:rPr>
    </w:lvl>
    <w:lvl w:ilvl="8" w:tplc="9F9E091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F34C7A"/>
    <w:multiLevelType w:val="hybridMultilevel"/>
    <w:tmpl w:val="625029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1FFB0657"/>
    <w:multiLevelType w:val="hybridMultilevel"/>
    <w:tmpl w:val="CA942748"/>
    <w:lvl w:ilvl="0" w:tplc="988837AC">
      <w:start w:val="1"/>
      <w:numFmt w:val="bullet"/>
      <w:lvlText w:val=""/>
      <w:lvlJc w:val="left"/>
      <w:pPr>
        <w:ind w:left="720" w:hanging="360"/>
      </w:pPr>
      <w:rPr>
        <w:rFonts w:ascii="Wingdings" w:hAnsi="Wingdings" w:hint="default"/>
        <w:b/>
        <w:i w:val="0"/>
        <w:color w:val="538135" w:themeColor="accent6" w:themeShade="BF"/>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42D1C79"/>
    <w:multiLevelType w:val="hybridMultilevel"/>
    <w:tmpl w:val="0D468DEA"/>
    <w:lvl w:ilvl="0" w:tplc="988837AC">
      <w:start w:val="1"/>
      <w:numFmt w:val="bullet"/>
      <w:lvlText w:val=""/>
      <w:lvlJc w:val="left"/>
      <w:pPr>
        <w:ind w:left="720" w:hanging="360"/>
      </w:pPr>
      <w:rPr>
        <w:rFonts w:ascii="Wingdings" w:hAnsi="Wingdings" w:hint="default"/>
        <w:b/>
        <w:i w:val="0"/>
        <w:color w:val="538135" w:themeColor="accent6" w:themeShade="BF"/>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594520C"/>
    <w:multiLevelType w:val="hybridMultilevel"/>
    <w:tmpl w:val="DE0C1152"/>
    <w:lvl w:ilvl="0" w:tplc="988837AC">
      <w:start w:val="1"/>
      <w:numFmt w:val="bullet"/>
      <w:lvlText w:val=""/>
      <w:lvlJc w:val="left"/>
      <w:pPr>
        <w:ind w:left="720" w:hanging="360"/>
      </w:pPr>
      <w:rPr>
        <w:rFonts w:ascii="Wingdings" w:hAnsi="Wingdings" w:hint="default"/>
        <w:b/>
        <w:i w:val="0"/>
        <w:color w:val="538135" w:themeColor="accent6" w:themeShade="BF"/>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5EE5394"/>
    <w:multiLevelType w:val="hybridMultilevel"/>
    <w:tmpl w:val="445CD740"/>
    <w:lvl w:ilvl="0" w:tplc="988837AC">
      <w:start w:val="1"/>
      <w:numFmt w:val="bullet"/>
      <w:lvlText w:val=""/>
      <w:lvlJc w:val="left"/>
      <w:pPr>
        <w:ind w:left="720" w:hanging="360"/>
      </w:pPr>
      <w:rPr>
        <w:rFonts w:ascii="Wingdings" w:hAnsi="Wingdings" w:hint="default"/>
        <w:b/>
        <w:i w:val="0"/>
        <w:color w:val="538135" w:themeColor="accent6" w:themeShade="BF"/>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27A34A40"/>
    <w:multiLevelType w:val="hybridMultilevel"/>
    <w:tmpl w:val="8B90B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283524E8"/>
    <w:multiLevelType w:val="hybridMultilevel"/>
    <w:tmpl w:val="14D6AFD2"/>
    <w:lvl w:ilvl="0" w:tplc="988837AC">
      <w:start w:val="1"/>
      <w:numFmt w:val="bullet"/>
      <w:lvlText w:val=""/>
      <w:lvlJc w:val="left"/>
      <w:pPr>
        <w:ind w:left="1146" w:hanging="360"/>
      </w:pPr>
      <w:rPr>
        <w:rFonts w:ascii="Wingdings" w:hAnsi="Wingdings" w:hint="default"/>
        <w:b/>
        <w:i w:val="0"/>
        <w:color w:val="538135" w:themeColor="accent6" w:themeShade="BF"/>
        <w:sz w:val="18"/>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5" w15:restartNumberingAfterBreak="0">
    <w:nsid w:val="294F6812"/>
    <w:multiLevelType w:val="hybridMultilevel"/>
    <w:tmpl w:val="92B21A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2A4B387E"/>
    <w:multiLevelType w:val="hybridMultilevel"/>
    <w:tmpl w:val="F34664FE"/>
    <w:lvl w:ilvl="0" w:tplc="240A0001">
      <w:start w:val="1"/>
      <w:numFmt w:val="bullet"/>
      <w:lvlText w:val=""/>
      <w:lvlJc w:val="left"/>
      <w:pPr>
        <w:ind w:left="2274" w:hanging="360"/>
      </w:pPr>
      <w:rPr>
        <w:rFonts w:ascii="Symbol" w:hAnsi="Symbol" w:hint="default"/>
      </w:rPr>
    </w:lvl>
    <w:lvl w:ilvl="1" w:tplc="240A0003" w:tentative="1">
      <w:start w:val="1"/>
      <w:numFmt w:val="bullet"/>
      <w:lvlText w:val="o"/>
      <w:lvlJc w:val="left"/>
      <w:pPr>
        <w:ind w:left="2994" w:hanging="360"/>
      </w:pPr>
      <w:rPr>
        <w:rFonts w:ascii="Courier New" w:hAnsi="Courier New" w:cs="Courier New" w:hint="default"/>
      </w:rPr>
    </w:lvl>
    <w:lvl w:ilvl="2" w:tplc="240A0005" w:tentative="1">
      <w:start w:val="1"/>
      <w:numFmt w:val="bullet"/>
      <w:lvlText w:val=""/>
      <w:lvlJc w:val="left"/>
      <w:pPr>
        <w:ind w:left="3714" w:hanging="360"/>
      </w:pPr>
      <w:rPr>
        <w:rFonts w:ascii="Wingdings" w:hAnsi="Wingdings" w:hint="default"/>
      </w:rPr>
    </w:lvl>
    <w:lvl w:ilvl="3" w:tplc="240A0001" w:tentative="1">
      <w:start w:val="1"/>
      <w:numFmt w:val="bullet"/>
      <w:lvlText w:val=""/>
      <w:lvlJc w:val="left"/>
      <w:pPr>
        <w:ind w:left="4434" w:hanging="360"/>
      </w:pPr>
      <w:rPr>
        <w:rFonts w:ascii="Symbol" w:hAnsi="Symbol" w:hint="default"/>
      </w:rPr>
    </w:lvl>
    <w:lvl w:ilvl="4" w:tplc="240A0003" w:tentative="1">
      <w:start w:val="1"/>
      <w:numFmt w:val="bullet"/>
      <w:lvlText w:val="o"/>
      <w:lvlJc w:val="left"/>
      <w:pPr>
        <w:ind w:left="5154" w:hanging="360"/>
      </w:pPr>
      <w:rPr>
        <w:rFonts w:ascii="Courier New" w:hAnsi="Courier New" w:cs="Courier New" w:hint="default"/>
      </w:rPr>
    </w:lvl>
    <w:lvl w:ilvl="5" w:tplc="240A0005" w:tentative="1">
      <w:start w:val="1"/>
      <w:numFmt w:val="bullet"/>
      <w:lvlText w:val=""/>
      <w:lvlJc w:val="left"/>
      <w:pPr>
        <w:ind w:left="5874" w:hanging="360"/>
      </w:pPr>
      <w:rPr>
        <w:rFonts w:ascii="Wingdings" w:hAnsi="Wingdings" w:hint="default"/>
      </w:rPr>
    </w:lvl>
    <w:lvl w:ilvl="6" w:tplc="240A0001" w:tentative="1">
      <w:start w:val="1"/>
      <w:numFmt w:val="bullet"/>
      <w:lvlText w:val=""/>
      <w:lvlJc w:val="left"/>
      <w:pPr>
        <w:ind w:left="6594" w:hanging="360"/>
      </w:pPr>
      <w:rPr>
        <w:rFonts w:ascii="Symbol" w:hAnsi="Symbol" w:hint="default"/>
      </w:rPr>
    </w:lvl>
    <w:lvl w:ilvl="7" w:tplc="240A0003" w:tentative="1">
      <w:start w:val="1"/>
      <w:numFmt w:val="bullet"/>
      <w:lvlText w:val="o"/>
      <w:lvlJc w:val="left"/>
      <w:pPr>
        <w:ind w:left="7314" w:hanging="360"/>
      </w:pPr>
      <w:rPr>
        <w:rFonts w:ascii="Courier New" w:hAnsi="Courier New" w:cs="Courier New" w:hint="default"/>
      </w:rPr>
    </w:lvl>
    <w:lvl w:ilvl="8" w:tplc="240A0005" w:tentative="1">
      <w:start w:val="1"/>
      <w:numFmt w:val="bullet"/>
      <w:lvlText w:val=""/>
      <w:lvlJc w:val="left"/>
      <w:pPr>
        <w:ind w:left="8034" w:hanging="360"/>
      </w:pPr>
      <w:rPr>
        <w:rFonts w:ascii="Wingdings" w:hAnsi="Wingdings" w:hint="default"/>
      </w:rPr>
    </w:lvl>
  </w:abstractNum>
  <w:abstractNum w:abstractNumId="27" w15:restartNumberingAfterBreak="0">
    <w:nsid w:val="2B47786A"/>
    <w:multiLevelType w:val="hybridMultilevel"/>
    <w:tmpl w:val="771014FE"/>
    <w:lvl w:ilvl="0" w:tplc="988837AC">
      <w:start w:val="1"/>
      <w:numFmt w:val="bullet"/>
      <w:lvlText w:val=""/>
      <w:lvlJc w:val="left"/>
      <w:pPr>
        <w:ind w:left="720" w:hanging="360"/>
      </w:pPr>
      <w:rPr>
        <w:rFonts w:ascii="Wingdings" w:hAnsi="Wingdings" w:hint="default"/>
        <w:b/>
        <w:i w:val="0"/>
        <w:color w:val="538135" w:themeColor="accent6" w:themeShade="BF"/>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2D234687"/>
    <w:multiLevelType w:val="hybridMultilevel"/>
    <w:tmpl w:val="E43454EC"/>
    <w:lvl w:ilvl="0" w:tplc="58F4098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2F7974CC"/>
    <w:multiLevelType w:val="hybridMultilevel"/>
    <w:tmpl w:val="1EAC1D66"/>
    <w:lvl w:ilvl="0" w:tplc="988837AC">
      <w:start w:val="1"/>
      <w:numFmt w:val="bullet"/>
      <w:lvlText w:val=""/>
      <w:lvlJc w:val="left"/>
      <w:pPr>
        <w:ind w:left="720" w:hanging="360"/>
      </w:pPr>
      <w:rPr>
        <w:rFonts w:ascii="Wingdings" w:hAnsi="Wingdings" w:hint="default"/>
        <w:b/>
        <w:i w:val="0"/>
        <w:color w:val="538135" w:themeColor="accent6" w:themeShade="BF"/>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306B2E62"/>
    <w:multiLevelType w:val="multilevel"/>
    <w:tmpl w:val="C50E5D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color w:val="385623" w:themeColor="accent6" w:themeShade="8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41F4131"/>
    <w:multiLevelType w:val="hybridMultilevel"/>
    <w:tmpl w:val="47BC5CB0"/>
    <w:lvl w:ilvl="0" w:tplc="988837AC">
      <w:start w:val="1"/>
      <w:numFmt w:val="bullet"/>
      <w:lvlText w:val=""/>
      <w:lvlJc w:val="left"/>
      <w:pPr>
        <w:ind w:left="720" w:hanging="360"/>
      </w:pPr>
      <w:rPr>
        <w:rFonts w:ascii="Wingdings" w:hAnsi="Wingdings" w:hint="default"/>
        <w:b/>
        <w:i w:val="0"/>
        <w:color w:val="538135" w:themeColor="accent6" w:themeShade="BF"/>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39040478"/>
    <w:multiLevelType w:val="hybridMultilevel"/>
    <w:tmpl w:val="2D14AD96"/>
    <w:lvl w:ilvl="0" w:tplc="E9DAD2A2">
      <w:start w:val="1"/>
      <w:numFmt w:val="bullet"/>
      <w:lvlText w:val=""/>
      <w:lvlJc w:val="left"/>
      <w:pPr>
        <w:tabs>
          <w:tab w:val="num" w:pos="720"/>
        </w:tabs>
        <w:ind w:left="720" w:hanging="360"/>
      </w:pPr>
      <w:rPr>
        <w:rFonts w:ascii="Wingdings" w:hAnsi="Wingdings" w:hint="default"/>
      </w:rPr>
    </w:lvl>
    <w:lvl w:ilvl="1" w:tplc="46185D9E" w:tentative="1">
      <w:start w:val="1"/>
      <w:numFmt w:val="bullet"/>
      <w:lvlText w:val=""/>
      <w:lvlJc w:val="left"/>
      <w:pPr>
        <w:tabs>
          <w:tab w:val="num" w:pos="1440"/>
        </w:tabs>
        <w:ind w:left="1440" w:hanging="360"/>
      </w:pPr>
      <w:rPr>
        <w:rFonts w:ascii="Wingdings" w:hAnsi="Wingdings" w:hint="default"/>
      </w:rPr>
    </w:lvl>
    <w:lvl w:ilvl="2" w:tplc="D4F2D25E" w:tentative="1">
      <w:start w:val="1"/>
      <w:numFmt w:val="bullet"/>
      <w:lvlText w:val=""/>
      <w:lvlJc w:val="left"/>
      <w:pPr>
        <w:tabs>
          <w:tab w:val="num" w:pos="2160"/>
        </w:tabs>
        <w:ind w:left="2160" w:hanging="360"/>
      </w:pPr>
      <w:rPr>
        <w:rFonts w:ascii="Wingdings" w:hAnsi="Wingdings" w:hint="default"/>
      </w:rPr>
    </w:lvl>
    <w:lvl w:ilvl="3" w:tplc="085E4F0C" w:tentative="1">
      <w:start w:val="1"/>
      <w:numFmt w:val="bullet"/>
      <w:lvlText w:val=""/>
      <w:lvlJc w:val="left"/>
      <w:pPr>
        <w:tabs>
          <w:tab w:val="num" w:pos="2880"/>
        </w:tabs>
        <w:ind w:left="2880" w:hanging="360"/>
      </w:pPr>
      <w:rPr>
        <w:rFonts w:ascii="Wingdings" w:hAnsi="Wingdings" w:hint="default"/>
      </w:rPr>
    </w:lvl>
    <w:lvl w:ilvl="4" w:tplc="D3DE8C5E" w:tentative="1">
      <w:start w:val="1"/>
      <w:numFmt w:val="bullet"/>
      <w:lvlText w:val=""/>
      <w:lvlJc w:val="left"/>
      <w:pPr>
        <w:tabs>
          <w:tab w:val="num" w:pos="3600"/>
        </w:tabs>
        <w:ind w:left="3600" w:hanging="360"/>
      </w:pPr>
      <w:rPr>
        <w:rFonts w:ascii="Wingdings" w:hAnsi="Wingdings" w:hint="default"/>
      </w:rPr>
    </w:lvl>
    <w:lvl w:ilvl="5" w:tplc="92EE31E6" w:tentative="1">
      <w:start w:val="1"/>
      <w:numFmt w:val="bullet"/>
      <w:lvlText w:val=""/>
      <w:lvlJc w:val="left"/>
      <w:pPr>
        <w:tabs>
          <w:tab w:val="num" w:pos="4320"/>
        </w:tabs>
        <w:ind w:left="4320" w:hanging="360"/>
      </w:pPr>
      <w:rPr>
        <w:rFonts w:ascii="Wingdings" w:hAnsi="Wingdings" w:hint="default"/>
      </w:rPr>
    </w:lvl>
    <w:lvl w:ilvl="6" w:tplc="CA98A28C" w:tentative="1">
      <w:start w:val="1"/>
      <w:numFmt w:val="bullet"/>
      <w:lvlText w:val=""/>
      <w:lvlJc w:val="left"/>
      <w:pPr>
        <w:tabs>
          <w:tab w:val="num" w:pos="5040"/>
        </w:tabs>
        <w:ind w:left="5040" w:hanging="360"/>
      </w:pPr>
      <w:rPr>
        <w:rFonts w:ascii="Wingdings" w:hAnsi="Wingdings" w:hint="default"/>
      </w:rPr>
    </w:lvl>
    <w:lvl w:ilvl="7" w:tplc="551A2CE6" w:tentative="1">
      <w:start w:val="1"/>
      <w:numFmt w:val="bullet"/>
      <w:lvlText w:val=""/>
      <w:lvlJc w:val="left"/>
      <w:pPr>
        <w:tabs>
          <w:tab w:val="num" w:pos="5760"/>
        </w:tabs>
        <w:ind w:left="5760" w:hanging="360"/>
      </w:pPr>
      <w:rPr>
        <w:rFonts w:ascii="Wingdings" w:hAnsi="Wingdings" w:hint="default"/>
      </w:rPr>
    </w:lvl>
    <w:lvl w:ilvl="8" w:tplc="E94A6E5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9E1368F"/>
    <w:multiLevelType w:val="hybridMultilevel"/>
    <w:tmpl w:val="AE4E5DFC"/>
    <w:lvl w:ilvl="0" w:tplc="2C88A7E2">
      <w:start w:val="1"/>
      <w:numFmt w:val="bullet"/>
      <w:lvlText w:val=""/>
      <w:lvlJc w:val="left"/>
      <w:pPr>
        <w:ind w:left="1004" w:hanging="360"/>
      </w:pPr>
      <w:rPr>
        <w:rFonts w:ascii="Symbol" w:hAnsi="Symbol" w:hint="default"/>
        <w:color w:val="00B050"/>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4" w15:restartNumberingAfterBreak="0">
    <w:nsid w:val="3AF75186"/>
    <w:multiLevelType w:val="hybridMultilevel"/>
    <w:tmpl w:val="B8C012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3D7C068D"/>
    <w:multiLevelType w:val="hybridMultilevel"/>
    <w:tmpl w:val="C3DEB238"/>
    <w:lvl w:ilvl="0" w:tplc="240A0003">
      <w:start w:val="1"/>
      <w:numFmt w:val="bullet"/>
      <w:lvlText w:val="o"/>
      <w:lvlJc w:val="left"/>
      <w:pPr>
        <w:ind w:left="720" w:hanging="360"/>
      </w:pPr>
      <w:rPr>
        <w:rFonts w:ascii="Courier New" w:hAnsi="Courier New" w:cs="Courier New" w:hint="default"/>
        <w:b/>
        <w:i w:val="0"/>
        <w:color w:val="538135" w:themeColor="accent6" w:themeShade="BF"/>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411C0F04"/>
    <w:multiLevelType w:val="hybridMultilevel"/>
    <w:tmpl w:val="4B2E7850"/>
    <w:lvl w:ilvl="0" w:tplc="988837AC">
      <w:start w:val="1"/>
      <w:numFmt w:val="bullet"/>
      <w:lvlText w:val=""/>
      <w:lvlJc w:val="left"/>
      <w:pPr>
        <w:ind w:left="720" w:hanging="360"/>
      </w:pPr>
      <w:rPr>
        <w:rFonts w:ascii="Wingdings" w:hAnsi="Wingdings" w:hint="default"/>
        <w:b/>
        <w:i w:val="0"/>
        <w:color w:val="538135" w:themeColor="accent6" w:themeShade="BF"/>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4250368D"/>
    <w:multiLevelType w:val="hybridMultilevel"/>
    <w:tmpl w:val="F52E949A"/>
    <w:lvl w:ilvl="0" w:tplc="988837AC">
      <w:start w:val="1"/>
      <w:numFmt w:val="bullet"/>
      <w:lvlText w:val=""/>
      <w:lvlJc w:val="left"/>
      <w:pPr>
        <w:ind w:left="720" w:hanging="360"/>
      </w:pPr>
      <w:rPr>
        <w:rFonts w:ascii="Wingdings" w:hAnsi="Wingdings" w:hint="default"/>
        <w:b/>
        <w:i w:val="0"/>
        <w:color w:val="538135" w:themeColor="accent6" w:themeShade="BF"/>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44331DDB"/>
    <w:multiLevelType w:val="hybridMultilevel"/>
    <w:tmpl w:val="0D76E2A4"/>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44565E0F"/>
    <w:multiLevelType w:val="hybridMultilevel"/>
    <w:tmpl w:val="3F1EF33A"/>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47636849"/>
    <w:multiLevelType w:val="multilevel"/>
    <w:tmpl w:val="17EAC8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04" w:hanging="720"/>
      </w:pPr>
      <w:rPr>
        <w:rFonts w:ascii="Wingdings" w:hAnsi="Wingdings" w:hint="default"/>
        <w:color w:val="00B05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48214D38"/>
    <w:multiLevelType w:val="hybridMultilevel"/>
    <w:tmpl w:val="32649DB8"/>
    <w:lvl w:ilvl="0" w:tplc="2C88A7E2">
      <w:start w:val="1"/>
      <w:numFmt w:val="bullet"/>
      <w:lvlText w:val=""/>
      <w:lvlJc w:val="left"/>
      <w:pPr>
        <w:ind w:left="720" w:hanging="360"/>
      </w:pPr>
      <w:rPr>
        <w:rFonts w:ascii="Symbol" w:hAnsi="Symbol" w:hint="default"/>
        <w:color w:val="00B05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48BB6045"/>
    <w:multiLevelType w:val="hybridMultilevel"/>
    <w:tmpl w:val="F73ED22A"/>
    <w:lvl w:ilvl="0" w:tplc="988837AC">
      <w:start w:val="1"/>
      <w:numFmt w:val="bullet"/>
      <w:lvlText w:val=""/>
      <w:lvlJc w:val="left"/>
      <w:pPr>
        <w:ind w:left="720" w:hanging="360"/>
      </w:pPr>
      <w:rPr>
        <w:rFonts w:ascii="Wingdings" w:hAnsi="Wingdings" w:hint="default"/>
        <w:b/>
        <w:i w:val="0"/>
        <w:color w:val="538135" w:themeColor="accent6" w:themeShade="BF"/>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49323BC9"/>
    <w:multiLevelType w:val="hybridMultilevel"/>
    <w:tmpl w:val="B844A110"/>
    <w:lvl w:ilvl="0" w:tplc="988837AC">
      <w:start w:val="1"/>
      <w:numFmt w:val="bullet"/>
      <w:lvlText w:val=""/>
      <w:lvlJc w:val="left"/>
      <w:pPr>
        <w:ind w:left="720" w:hanging="360"/>
      </w:pPr>
      <w:rPr>
        <w:rFonts w:ascii="Wingdings" w:hAnsi="Wingdings" w:hint="default"/>
        <w:b/>
        <w:i w:val="0"/>
        <w:color w:val="538135" w:themeColor="accent6" w:themeShade="BF"/>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49EB6E49"/>
    <w:multiLevelType w:val="hybridMultilevel"/>
    <w:tmpl w:val="87A08878"/>
    <w:lvl w:ilvl="0" w:tplc="988837AC">
      <w:start w:val="1"/>
      <w:numFmt w:val="bullet"/>
      <w:lvlText w:val=""/>
      <w:lvlJc w:val="left"/>
      <w:pPr>
        <w:ind w:left="720" w:hanging="360"/>
      </w:pPr>
      <w:rPr>
        <w:rFonts w:ascii="Wingdings" w:hAnsi="Wingdings" w:hint="default"/>
        <w:b/>
        <w:i w:val="0"/>
        <w:color w:val="538135" w:themeColor="accent6" w:themeShade="BF"/>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4CC97B58"/>
    <w:multiLevelType w:val="hybridMultilevel"/>
    <w:tmpl w:val="62D05F48"/>
    <w:lvl w:ilvl="0" w:tplc="988837AC">
      <w:start w:val="1"/>
      <w:numFmt w:val="bullet"/>
      <w:lvlText w:val=""/>
      <w:lvlJc w:val="left"/>
      <w:pPr>
        <w:ind w:left="720" w:hanging="360"/>
      </w:pPr>
      <w:rPr>
        <w:rFonts w:ascii="Wingdings" w:hAnsi="Wingdings" w:hint="default"/>
        <w:b/>
        <w:i w:val="0"/>
        <w:color w:val="538135" w:themeColor="accent6" w:themeShade="BF"/>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4DD479AE"/>
    <w:multiLevelType w:val="multilevel"/>
    <w:tmpl w:val="8FAA035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F343A23"/>
    <w:multiLevelType w:val="hybridMultilevel"/>
    <w:tmpl w:val="227C6206"/>
    <w:lvl w:ilvl="0" w:tplc="988837AC">
      <w:start w:val="1"/>
      <w:numFmt w:val="bullet"/>
      <w:lvlText w:val=""/>
      <w:lvlJc w:val="left"/>
      <w:pPr>
        <w:ind w:left="720" w:hanging="360"/>
      </w:pPr>
      <w:rPr>
        <w:rFonts w:ascii="Wingdings" w:hAnsi="Wingdings" w:hint="default"/>
        <w:b/>
        <w:i w:val="0"/>
        <w:color w:val="538135" w:themeColor="accent6" w:themeShade="BF"/>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50D66063"/>
    <w:multiLevelType w:val="hybridMultilevel"/>
    <w:tmpl w:val="EC063C50"/>
    <w:lvl w:ilvl="0" w:tplc="988837AC">
      <w:start w:val="1"/>
      <w:numFmt w:val="bullet"/>
      <w:lvlText w:val=""/>
      <w:lvlJc w:val="left"/>
      <w:pPr>
        <w:ind w:left="720" w:hanging="360"/>
      </w:pPr>
      <w:rPr>
        <w:rFonts w:ascii="Wingdings" w:hAnsi="Wingdings" w:hint="default"/>
        <w:b/>
        <w:i w:val="0"/>
        <w:color w:val="538135" w:themeColor="accent6" w:themeShade="BF"/>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5149261D"/>
    <w:multiLevelType w:val="hybridMultilevel"/>
    <w:tmpl w:val="D994B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538B4821"/>
    <w:multiLevelType w:val="hybridMultilevel"/>
    <w:tmpl w:val="A64ADA40"/>
    <w:lvl w:ilvl="0" w:tplc="240A0001">
      <w:start w:val="1"/>
      <w:numFmt w:val="bullet"/>
      <w:lvlText w:val=""/>
      <w:lvlJc w:val="left"/>
      <w:pPr>
        <w:ind w:left="774" w:hanging="360"/>
      </w:pPr>
      <w:rPr>
        <w:rFonts w:ascii="Symbol" w:hAnsi="Symbol" w:hint="default"/>
      </w:rPr>
    </w:lvl>
    <w:lvl w:ilvl="1" w:tplc="240A0003" w:tentative="1">
      <w:start w:val="1"/>
      <w:numFmt w:val="bullet"/>
      <w:lvlText w:val="o"/>
      <w:lvlJc w:val="left"/>
      <w:pPr>
        <w:ind w:left="1494" w:hanging="360"/>
      </w:pPr>
      <w:rPr>
        <w:rFonts w:ascii="Courier New" w:hAnsi="Courier New" w:cs="Courier New" w:hint="default"/>
      </w:rPr>
    </w:lvl>
    <w:lvl w:ilvl="2" w:tplc="240A0005" w:tentative="1">
      <w:start w:val="1"/>
      <w:numFmt w:val="bullet"/>
      <w:lvlText w:val=""/>
      <w:lvlJc w:val="left"/>
      <w:pPr>
        <w:ind w:left="2214" w:hanging="360"/>
      </w:pPr>
      <w:rPr>
        <w:rFonts w:ascii="Wingdings" w:hAnsi="Wingdings" w:hint="default"/>
      </w:rPr>
    </w:lvl>
    <w:lvl w:ilvl="3" w:tplc="240A0001" w:tentative="1">
      <w:start w:val="1"/>
      <w:numFmt w:val="bullet"/>
      <w:lvlText w:val=""/>
      <w:lvlJc w:val="left"/>
      <w:pPr>
        <w:ind w:left="2934" w:hanging="360"/>
      </w:pPr>
      <w:rPr>
        <w:rFonts w:ascii="Symbol" w:hAnsi="Symbol" w:hint="default"/>
      </w:rPr>
    </w:lvl>
    <w:lvl w:ilvl="4" w:tplc="240A0003" w:tentative="1">
      <w:start w:val="1"/>
      <w:numFmt w:val="bullet"/>
      <w:lvlText w:val="o"/>
      <w:lvlJc w:val="left"/>
      <w:pPr>
        <w:ind w:left="3654" w:hanging="360"/>
      </w:pPr>
      <w:rPr>
        <w:rFonts w:ascii="Courier New" w:hAnsi="Courier New" w:cs="Courier New" w:hint="default"/>
      </w:rPr>
    </w:lvl>
    <w:lvl w:ilvl="5" w:tplc="240A0005" w:tentative="1">
      <w:start w:val="1"/>
      <w:numFmt w:val="bullet"/>
      <w:lvlText w:val=""/>
      <w:lvlJc w:val="left"/>
      <w:pPr>
        <w:ind w:left="4374" w:hanging="360"/>
      </w:pPr>
      <w:rPr>
        <w:rFonts w:ascii="Wingdings" w:hAnsi="Wingdings" w:hint="default"/>
      </w:rPr>
    </w:lvl>
    <w:lvl w:ilvl="6" w:tplc="240A0001" w:tentative="1">
      <w:start w:val="1"/>
      <w:numFmt w:val="bullet"/>
      <w:lvlText w:val=""/>
      <w:lvlJc w:val="left"/>
      <w:pPr>
        <w:ind w:left="5094" w:hanging="360"/>
      </w:pPr>
      <w:rPr>
        <w:rFonts w:ascii="Symbol" w:hAnsi="Symbol" w:hint="default"/>
      </w:rPr>
    </w:lvl>
    <w:lvl w:ilvl="7" w:tplc="240A0003" w:tentative="1">
      <w:start w:val="1"/>
      <w:numFmt w:val="bullet"/>
      <w:lvlText w:val="o"/>
      <w:lvlJc w:val="left"/>
      <w:pPr>
        <w:ind w:left="5814" w:hanging="360"/>
      </w:pPr>
      <w:rPr>
        <w:rFonts w:ascii="Courier New" w:hAnsi="Courier New" w:cs="Courier New" w:hint="default"/>
      </w:rPr>
    </w:lvl>
    <w:lvl w:ilvl="8" w:tplc="240A0005" w:tentative="1">
      <w:start w:val="1"/>
      <w:numFmt w:val="bullet"/>
      <w:lvlText w:val=""/>
      <w:lvlJc w:val="left"/>
      <w:pPr>
        <w:ind w:left="6534" w:hanging="360"/>
      </w:pPr>
      <w:rPr>
        <w:rFonts w:ascii="Wingdings" w:hAnsi="Wingdings" w:hint="default"/>
      </w:rPr>
    </w:lvl>
  </w:abstractNum>
  <w:abstractNum w:abstractNumId="51" w15:restartNumberingAfterBreak="0">
    <w:nsid w:val="57731FFD"/>
    <w:multiLevelType w:val="hybridMultilevel"/>
    <w:tmpl w:val="C2A027B2"/>
    <w:lvl w:ilvl="0" w:tplc="988837AC">
      <w:start w:val="1"/>
      <w:numFmt w:val="bullet"/>
      <w:lvlText w:val=""/>
      <w:lvlJc w:val="left"/>
      <w:pPr>
        <w:ind w:left="720" w:hanging="360"/>
      </w:pPr>
      <w:rPr>
        <w:rFonts w:ascii="Wingdings" w:hAnsi="Wingdings" w:hint="default"/>
        <w:b/>
        <w:i w:val="0"/>
        <w:color w:val="538135" w:themeColor="accent6" w:themeShade="BF"/>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58050E87"/>
    <w:multiLevelType w:val="hybridMultilevel"/>
    <w:tmpl w:val="F4EA3EBC"/>
    <w:lvl w:ilvl="0" w:tplc="988837AC">
      <w:start w:val="1"/>
      <w:numFmt w:val="bullet"/>
      <w:lvlText w:val=""/>
      <w:lvlJc w:val="left"/>
      <w:pPr>
        <w:ind w:left="720" w:hanging="360"/>
      </w:pPr>
      <w:rPr>
        <w:rFonts w:ascii="Wingdings" w:hAnsi="Wingdings" w:hint="default"/>
        <w:b/>
        <w:i w:val="0"/>
        <w:color w:val="538135" w:themeColor="accent6" w:themeShade="BF"/>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15:restartNumberingAfterBreak="0">
    <w:nsid w:val="5CA45556"/>
    <w:multiLevelType w:val="hybridMultilevel"/>
    <w:tmpl w:val="F092D5E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61235A39"/>
    <w:multiLevelType w:val="hybridMultilevel"/>
    <w:tmpl w:val="20AE047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15:restartNumberingAfterBreak="0">
    <w:nsid w:val="61AC50C2"/>
    <w:multiLevelType w:val="hybridMultilevel"/>
    <w:tmpl w:val="D83E5756"/>
    <w:lvl w:ilvl="0" w:tplc="988837AC">
      <w:start w:val="1"/>
      <w:numFmt w:val="bullet"/>
      <w:lvlText w:val=""/>
      <w:lvlJc w:val="left"/>
      <w:pPr>
        <w:ind w:left="720" w:hanging="360"/>
      </w:pPr>
      <w:rPr>
        <w:rFonts w:ascii="Wingdings" w:hAnsi="Wingdings" w:hint="default"/>
        <w:b/>
        <w:i w:val="0"/>
        <w:color w:val="538135" w:themeColor="accent6" w:themeShade="BF"/>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15:restartNumberingAfterBreak="0">
    <w:nsid w:val="63A873E1"/>
    <w:multiLevelType w:val="hybridMultilevel"/>
    <w:tmpl w:val="BB2C1DB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15:restartNumberingAfterBreak="0">
    <w:nsid w:val="64C81EB9"/>
    <w:multiLevelType w:val="hybridMultilevel"/>
    <w:tmpl w:val="BF3ABE52"/>
    <w:lvl w:ilvl="0" w:tplc="988837AC">
      <w:start w:val="1"/>
      <w:numFmt w:val="bullet"/>
      <w:lvlText w:val=""/>
      <w:lvlJc w:val="left"/>
      <w:pPr>
        <w:ind w:left="720" w:hanging="360"/>
      </w:pPr>
      <w:rPr>
        <w:rFonts w:ascii="Wingdings" w:hAnsi="Wingdings" w:hint="default"/>
        <w:b/>
        <w:i w:val="0"/>
        <w:color w:val="538135" w:themeColor="accent6" w:themeShade="BF"/>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15:restartNumberingAfterBreak="0">
    <w:nsid w:val="6AEE74E5"/>
    <w:multiLevelType w:val="hybridMultilevel"/>
    <w:tmpl w:val="A99E984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15:restartNumberingAfterBreak="0">
    <w:nsid w:val="6BFF63FD"/>
    <w:multiLevelType w:val="hybridMultilevel"/>
    <w:tmpl w:val="9628FD5C"/>
    <w:lvl w:ilvl="0" w:tplc="FDA416A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0" w15:restartNumberingAfterBreak="0">
    <w:nsid w:val="6EE81445"/>
    <w:multiLevelType w:val="hybridMultilevel"/>
    <w:tmpl w:val="8424D922"/>
    <w:lvl w:ilvl="0" w:tplc="988837AC">
      <w:start w:val="1"/>
      <w:numFmt w:val="bullet"/>
      <w:lvlText w:val=""/>
      <w:lvlJc w:val="left"/>
      <w:pPr>
        <w:ind w:left="720" w:hanging="360"/>
      </w:pPr>
      <w:rPr>
        <w:rFonts w:ascii="Wingdings" w:hAnsi="Wingdings" w:hint="default"/>
        <w:b/>
        <w:i w:val="0"/>
        <w:color w:val="538135" w:themeColor="accent6" w:themeShade="BF"/>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15:restartNumberingAfterBreak="0">
    <w:nsid w:val="6FCC2915"/>
    <w:multiLevelType w:val="hybridMultilevel"/>
    <w:tmpl w:val="A6EA0A3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2" w15:restartNumberingAfterBreak="0">
    <w:nsid w:val="70BF29C8"/>
    <w:multiLevelType w:val="hybridMultilevel"/>
    <w:tmpl w:val="23B8D590"/>
    <w:lvl w:ilvl="0" w:tplc="988837AC">
      <w:start w:val="1"/>
      <w:numFmt w:val="bullet"/>
      <w:lvlText w:val=""/>
      <w:lvlJc w:val="left"/>
      <w:pPr>
        <w:ind w:left="720" w:hanging="360"/>
      </w:pPr>
      <w:rPr>
        <w:rFonts w:ascii="Wingdings" w:hAnsi="Wingdings" w:hint="default"/>
        <w:b/>
        <w:i w:val="0"/>
        <w:color w:val="538135" w:themeColor="accent6" w:themeShade="BF"/>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15:restartNumberingAfterBreak="0">
    <w:nsid w:val="71825762"/>
    <w:multiLevelType w:val="hybridMultilevel"/>
    <w:tmpl w:val="1498576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15:restartNumberingAfterBreak="0">
    <w:nsid w:val="74313E08"/>
    <w:multiLevelType w:val="hybridMultilevel"/>
    <w:tmpl w:val="FCB43614"/>
    <w:lvl w:ilvl="0" w:tplc="988837AC">
      <w:start w:val="1"/>
      <w:numFmt w:val="bullet"/>
      <w:lvlText w:val=""/>
      <w:lvlJc w:val="left"/>
      <w:pPr>
        <w:ind w:left="1004" w:hanging="360"/>
      </w:pPr>
      <w:rPr>
        <w:rFonts w:ascii="Wingdings" w:hAnsi="Wingdings" w:hint="default"/>
        <w:b/>
        <w:i w:val="0"/>
        <w:color w:val="538135" w:themeColor="accent6" w:themeShade="BF"/>
        <w:sz w:val="18"/>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65" w15:restartNumberingAfterBreak="0">
    <w:nsid w:val="75807EC4"/>
    <w:multiLevelType w:val="hybridMultilevel"/>
    <w:tmpl w:val="03842B0C"/>
    <w:lvl w:ilvl="0" w:tplc="C05E6B6E">
      <w:start w:val="1"/>
      <w:numFmt w:val="bullet"/>
      <w:lvlText w:val=""/>
      <w:lvlJc w:val="left"/>
      <w:pPr>
        <w:tabs>
          <w:tab w:val="num" w:pos="720"/>
        </w:tabs>
        <w:ind w:left="720" w:hanging="360"/>
      </w:pPr>
      <w:rPr>
        <w:rFonts w:ascii="Wingdings" w:hAnsi="Wingdings" w:hint="default"/>
      </w:rPr>
    </w:lvl>
    <w:lvl w:ilvl="1" w:tplc="E9364F14" w:tentative="1">
      <w:start w:val="1"/>
      <w:numFmt w:val="bullet"/>
      <w:lvlText w:val=""/>
      <w:lvlJc w:val="left"/>
      <w:pPr>
        <w:tabs>
          <w:tab w:val="num" w:pos="1440"/>
        </w:tabs>
        <w:ind w:left="1440" w:hanging="360"/>
      </w:pPr>
      <w:rPr>
        <w:rFonts w:ascii="Wingdings" w:hAnsi="Wingdings" w:hint="default"/>
      </w:rPr>
    </w:lvl>
    <w:lvl w:ilvl="2" w:tplc="18B2E276" w:tentative="1">
      <w:start w:val="1"/>
      <w:numFmt w:val="bullet"/>
      <w:lvlText w:val=""/>
      <w:lvlJc w:val="left"/>
      <w:pPr>
        <w:tabs>
          <w:tab w:val="num" w:pos="2160"/>
        </w:tabs>
        <w:ind w:left="2160" w:hanging="360"/>
      </w:pPr>
      <w:rPr>
        <w:rFonts w:ascii="Wingdings" w:hAnsi="Wingdings" w:hint="default"/>
      </w:rPr>
    </w:lvl>
    <w:lvl w:ilvl="3" w:tplc="4B242BE6" w:tentative="1">
      <w:start w:val="1"/>
      <w:numFmt w:val="bullet"/>
      <w:lvlText w:val=""/>
      <w:lvlJc w:val="left"/>
      <w:pPr>
        <w:tabs>
          <w:tab w:val="num" w:pos="2880"/>
        </w:tabs>
        <w:ind w:left="2880" w:hanging="360"/>
      </w:pPr>
      <w:rPr>
        <w:rFonts w:ascii="Wingdings" w:hAnsi="Wingdings" w:hint="default"/>
      </w:rPr>
    </w:lvl>
    <w:lvl w:ilvl="4" w:tplc="9EC69CC4" w:tentative="1">
      <w:start w:val="1"/>
      <w:numFmt w:val="bullet"/>
      <w:lvlText w:val=""/>
      <w:lvlJc w:val="left"/>
      <w:pPr>
        <w:tabs>
          <w:tab w:val="num" w:pos="3600"/>
        </w:tabs>
        <w:ind w:left="3600" w:hanging="360"/>
      </w:pPr>
      <w:rPr>
        <w:rFonts w:ascii="Wingdings" w:hAnsi="Wingdings" w:hint="default"/>
      </w:rPr>
    </w:lvl>
    <w:lvl w:ilvl="5" w:tplc="72C6B3F6" w:tentative="1">
      <w:start w:val="1"/>
      <w:numFmt w:val="bullet"/>
      <w:lvlText w:val=""/>
      <w:lvlJc w:val="left"/>
      <w:pPr>
        <w:tabs>
          <w:tab w:val="num" w:pos="4320"/>
        </w:tabs>
        <w:ind w:left="4320" w:hanging="360"/>
      </w:pPr>
      <w:rPr>
        <w:rFonts w:ascii="Wingdings" w:hAnsi="Wingdings" w:hint="default"/>
      </w:rPr>
    </w:lvl>
    <w:lvl w:ilvl="6" w:tplc="5F5247CC" w:tentative="1">
      <w:start w:val="1"/>
      <w:numFmt w:val="bullet"/>
      <w:lvlText w:val=""/>
      <w:lvlJc w:val="left"/>
      <w:pPr>
        <w:tabs>
          <w:tab w:val="num" w:pos="5040"/>
        </w:tabs>
        <w:ind w:left="5040" w:hanging="360"/>
      </w:pPr>
      <w:rPr>
        <w:rFonts w:ascii="Wingdings" w:hAnsi="Wingdings" w:hint="default"/>
      </w:rPr>
    </w:lvl>
    <w:lvl w:ilvl="7" w:tplc="F26837BC" w:tentative="1">
      <w:start w:val="1"/>
      <w:numFmt w:val="bullet"/>
      <w:lvlText w:val=""/>
      <w:lvlJc w:val="left"/>
      <w:pPr>
        <w:tabs>
          <w:tab w:val="num" w:pos="5760"/>
        </w:tabs>
        <w:ind w:left="5760" w:hanging="360"/>
      </w:pPr>
      <w:rPr>
        <w:rFonts w:ascii="Wingdings" w:hAnsi="Wingdings" w:hint="default"/>
      </w:rPr>
    </w:lvl>
    <w:lvl w:ilvl="8" w:tplc="88A6D47A"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66846ED"/>
    <w:multiLevelType w:val="hybridMultilevel"/>
    <w:tmpl w:val="7102F8E6"/>
    <w:lvl w:ilvl="0" w:tplc="87869EAA">
      <w:start w:val="1"/>
      <w:numFmt w:val="bullet"/>
      <w:lvlText w:val=""/>
      <w:lvlJc w:val="left"/>
      <w:pPr>
        <w:ind w:left="720" w:hanging="360"/>
      </w:pPr>
      <w:rPr>
        <w:rFonts w:ascii="Wingdings" w:hAnsi="Wingdings" w:hint="default"/>
        <w:color w:val="00B05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7" w15:restartNumberingAfterBreak="0">
    <w:nsid w:val="76893DF2"/>
    <w:multiLevelType w:val="hybridMultilevel"/>
    <w:tmpl w:val="72128E88"/>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8" w15:restartNumberingAfterBreak="0">
    <w:nsid w:val="7873286E"/>
    <w:multiLevelType w:val="hybridMultilevel"/>
    <w:tmpl w:val="90BACD5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9" w15:restartNumberingAfterBreak="0">
    <w:nsid w:val="78A23806"/>
    <w:multiLevelType w:val="hybridMultilevel"/>
    <w:tmpl w:val="FEE2E7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0" w15:restartNumberingAfterBreak="0">
    <w:nsid w:val="78CC7797"/>
    <w:multiLevelType w:val="hybridMultilevel"/>
    <w:tmpl w:val="EF3445D8"/>
    <w:lvl w:ilvl="0" w:tplc="E808F8FC">
      <w:start w:val="1"/>
      <w:numFmt w:val="bullet"/>
      <w:lvlText w:val=""/>
      <w:lvlJc w:val="left"/>
      <w:pPr>
        <w:ind w:left="1004" w:hanging="360"/>
      </w:pPr>
      <w:rPr>
        <w:rFonts w:ascii="Symbol" w:hAnsi="Symbol" w:hint="default"/>
        <w:color w:val="auto"/>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71" w15:restartNumberingAfterBreak="0">
    <w:nsid w:val="79A21089"/>
    <w:multiLevelType w:val="hybridMultilevel"/>
    <w:tmpl w:val="F6B8B83E"/>
    <w:lvl w:ilvl="0" w:tplc="988837AC">
      <w:start w:val="1"/>
      <w:numFmt w:val="bullet"/>
      <w:lvlText w:val=""/>
      <w:lvlJc w:val="left"/>
      <w:pPr>
        <w:ind w:left="720" w:hanging="360"/>
      </w:pPr>
      <w:rPr>
        <w:rFonts w:ascii="Wingdings" w:hAnsi="Wingdings" w:hint="default"/>
        <w:b/>
        <w:i w:val="0"/>
        <w:color w:val="538135" w:themeColor="accent6" w:themeShade="BF"/>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2" w15:restartNumberingAfterBreak="0">
    <w:nsid w:val="7A8817CC"/>
    <w:multiLevelType w:val="hybridMultilevel"/>
    <w:tmpl w:val="4C2A66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3" w15:restartNumberingAfterBreak="0">
    <w:nsid w:val="7AC07839"/>
    <w:multiLevelType w:val="hybridMultilevel"/>
    <w:tmpl w:val="116CD6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4" w15:restartNumberingAfterBreak="0">
    <w:nsid w:val="7C6F0748"/>
    <w:multiLevelType w:val="hybridMultilevel"/>
    <w:tmpl w:val="B53088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5" w15:restartNumberingAfterBreak="0">
    <w:nsid w:val="7CD3021F"/>
    <w:multiLevelType w:val="hybridMultilevel"/>
    <w:tmpl w:val="2A52D020"/>
    <w:lvl w:ilvl="0" w:tplc="240A0003">
      <w:start w:val="1"/>
      <w:numFmt w:val="bullet"/>
      <w:lvlText w:val="o"/>
      <w:lvlJc w:val="left"/>
      <w:pPr>
        <w:ind w:left="780" w:hanging="360"/>
      </w:pPr>
      <w:rPr>
        <w:rFonts w:ascii="Courier New" w:hAnsi="Courier New" w:cs="Courier New"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76" w15:restartNumberingAfterBreak="0">
    <w:nsid w:val="7CF763D2"/>
    <w:multiLevelType w:val="hybridMultilevel"/>
    <w:tmpl w:val="72362322"/>
    <w:lvl w:ilvl="0" w:tplc="240A0005">
      <w:start w:val="1"/>
      <w:numFmt w:val="bullet"/>
      <w:lvlText w:val=""/>
      <w:lvlJc w:val="left"/>
      <w:pPr>
        <w:ind w:left="1146" w:hanging="360"/>
      </w:pPr>
      <w:rPr>
        <w:rFonts w:ascii="Wingdings" w:hAnsi="Wingdings"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77" w15:restartNumberingAfterBreak="0">
    <w:nsid w:val="7E1C4D21"/>
    <w:multiLevelType w:val="hybridMultilevel"/>
    <w:tmpl w:val="8732FE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8" w15:restartNumberingAfterBreak="0">
    <w:nsid w:val="7E34528E"/>
    <w:multiLevelType w:val="hybridMultilevel"/>
    <w:tmpl w:val="C21AD23E"/>
    <w:lvl w:ilvl="0" w:tplc="988837AC">
      <w:start w:val="1"/>
      <w:numFmt w:val="bullet"/>
      <w:lvlText w:val=""/>
      <w:lvlJc w:val="left"/>
      <w:pPr>
        <w:ind w:left="720" w:hanging="360"/>
      </w:pPr>
      <w:rPr>
        <w:rFonts w:ascii="Wingdings" w:hAnsi="Wingdings" w:hint="default"/>
        <w:b/>
        <w:i w:val="0"/>
        <w:color w:val="538135" w:themeColor="accent6" w:themeShade="BF"/>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9" w15:restartNumberingAfterBreak="0">
    <w:nsid w:val="7FA65174"/>
    <w:multiLevelType w:val="hybridMultilevel"/>
    <w:tmpl w:val="8BD282FC"/>
    <w:lvl w:ilvl="0" w:tplc="988837AC">
      <w:start w:val="1"/>
      <w:numFmt w:val="bullet"/>
      <w:lvlText w:val=""/>
      <w:lvlJc w:val="left"/>
      <w:pPr>
        <w:ind w:left="720" w:hanging="360"/>
      </w:pPr>
      <w:rPr>
        <w:rFonts w:ascii="Wingdings" w:hAnsi="Wingdings" w:hint="default"/>
        <w:b/>
        <w:i w:val="0"/>
        <w:color w:val="538135" w:themeColor="accent6" w:themeShade="BF"/>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8"/>
  </w:num>
  <w:num w:numId="4">
    <w:abstractNumId w:val="28"/>
  </w:num>
  <w:num w:numId="5">
    <w:abstractNumId w:val="23"/>
  </w:num>
  <w:num w:numId="6">
    <w:abstractNumId w:val="30"/>
  </w:num>
  <w:num w:numId="7">
    <w:abstractNumId w:val="11"/>
  </w:num>
  <w:num w:numId="8">
    <w:abstractNumId w:val="70"/>
  </w:num>
  <w:num w:numId="9">
    <w:abstractNumId w:val="74"/>
  </w:num>
  <w:num w:numId="10">
    <w:abstractNumId w:val="73"/>
  </w:num>
  <w:num w:numId="11">
    <w:abstractNumId w:val="69"/>
  </w:num>
  <w:num w:numId="12">
    <w:abstractNumId w:val="10"/>
  </w:num>
  <w:num w:numId="13">
    <w:abstractNumId w:val="71"/>
  </w:num>
  <w:num w:numId="14">
    <w:abstractNumId w:val="59"/>
  </w:num>
  <w:num w:numId="15">
    <w:abstractNumId w:val="10"/>
  </w:num>
  <w:num w:numId="16">
    <w:abstractNumId w:val="75"/>
  </w:num>
  <w:num w:numId="17">
    <w:abstractNumId w:val="39"/>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7"/>
  </w:num>
  <w:num w:numId="20">
    <w:abstractNumId w:val="25"/>
  </w:num>
  <w:num w:numId="21">
    <w:abstractNumId w:val="26"/>
  </w:num>
  <w:num w:numId="22">
    <w:abstractNumId w:val="0"/>
  </w:num>
  <w:num w:numId="23">
    <w:abstractNumId w:val="34"/>
  </w:num>
  <w:num w:numId="24">
    <w:abstractNumId w:val="3"/>
  </w:num>
  <w:num w:numId="25">
    <w:abstractNumId w:val="6"/>
  </w:num>
  <w:num w:numId="26">
    <w:abstractNumId w:val="53"/>
  </w:num>
  <w:num w:numId="27">
    <w:abstractNumId w:val="20"/>
  </w:num>
  <w:num w:numId="28">
    <w:abstractNumId w:val="51"/>
  </w:num>
  <w:num w:numId="29">
    <w:abstractNumId w:val="68"/>
  </w:num>
  <w:num w:numId="30">
    <w:abstractNumId w:val="16"/>
  </w:num>
  <w:num w:numId="31">
    <w:abstractNumId w:val="32"/>
  </w:num>
  <w:num w:numId="32">
    <w:abstractNumId w:val="65"/>
  </w:num>
  <w:num w:numId="33">
    <w:abstractNumId w:val="1"/>
  </w:num>
  <w:num w:numId="34">
    <w:abstractNumId w:val="77"/>
  </w:num>
  <w:num w:numId="35">
    <w:abstractNumId w:val="17"/>
  </w:num>
  <w:num w:numId="36">
    <w:abstractNumId w:val="63"/>
  </w:num>
  <w:num w:numId="37">
    <w:abstractNumId w:val="50"/>
  </w:num>
  <w:num w:numId="38">
    <w:abstractNumId w:val="21"/>
  </w:num>
  <w:num w:numId="39">
    <w:abstractNumId w:val="62"/>
  </w:num>
  <w:num w:numId="40">
    <w:abstractNumId w:val="60"/>
  </w:num>
  <w:num w:numId="41">
    <w:abstractNumId w:val="55"/>
  </w:num>
  <w:num w:numId="42">
    <w:abstractNumId w:val="27"/>
  </w:num>
  <w:num w:numId="43">
    <w:abstractNumId w:val="5"/>
  </w:num>
  <w:num w:numId="44">
    <w:abstractNumId w:val="56"/>
  </w:num>
  <w:num w:numId="45">
    <w:abstractNumId w:val="49"/>
  </w:num>
  <w:num w:numId="46">
    <w:abstractNumId w:val="72"/>
  </w:num>
  <w:num w:numId="47">
    <w:abstractNumId w:val="54"/>
  </w:num>
  <w:num w:numId="48">
    <w:abstractNumId w:val="22"/>
  </w:num>
  <w:num w:numId="49">
    <w:abstractNumId w:val="47"/>
  </w:num>
  <w:num w:numId="50">
    <w:abstractNumId w:val="61"/>
  </w:num>
  <w:num w:numId="51">
    <w:abstractNumId w:val="4"/>
  </w:num>
  <w:num w:numId="52">
    <w:abstractNumId w:val="76"/>
  </w:num>
  <w:num w:numId="53">
    <w:abstractNumId w:val="44"/>
  </w:num>
  <w:num w:numId="54">
    <w:abstractNumId w:val="18"/>
  </w:num>
  <w:num w:numId="55">
    <w:abstractNumId w:val="19"/>
  </w:num>
  <w:num w:numId="56">
    <w:abstractNumId w:val="42"/>
  </w:num>
  <w:num w:numId="57">
    <w:abstractNumId w:val="24"/>
  </w:num>
  <w:num w:numId="58">
    <w:abstractNumId w:val="29"/>
  </w:num>
  <w:num w:numId="59">
    <w:abstractNumId w:val="78"/>
  </w:num>
  <w:num w:numId="60">
    <w:abstractNumId w:val="12"/>
  </w:num>
  <w:num w:numId="61">
    <w:abstractNumId w:val="15"/>
  </w:num>
  <w:num w:numId="62">
    <w:abstractNumId w:val="9"/>
  </w:num>
  <w:num w:numId="63">
    <w:abstractNumId w:val="43"/>
  </w:num>
  <w:num w:numId="64">
    <w:abstractNumId w:val="52"/>
  </w:num>
  <w:num w:numId="65">
    <w:abstractNumId w:val="35"/>
  </w:num>
  <w:num w:numId="66">
    <w:abstractNumId w:val="45"/>
  </w:num>
  <w:num w:numId="67">
    <w:abstractNumId w:val="40"/>
  </w:num>
  <w:num w:numId="68">
    <w:abstractNumId w:val="13"/>
  </w:num>
  <w:num w:numId="69">
    <w:abstractNumId w:val="37"/>
  </w:num>
  <w:num w:numId="70">
    <w:abstractNumId w:val="58"/>
  </w:num>
  <w:num w:numId="71">
    <w:abstractNumId w:val="8"/>
  </w:num>
  <w:num w:numId="72">
    <w:abstractNumId w:val="41"/>
  </w:num>
  <w:num w:numId="73">
    <w:abstractNumId w:val="33"/>
  </w:num>
  <w:num w:numId="74">
    <w:abstractNumId w:val="2"/>
  </w:num>
  <w:num w:numId="75">
    <w:abstractNumId w:val="57"/>
  </w:num>
  <w:num w:numId="76">
    <w:abstractNumId w:val="36"/>
  </w:num>
  <w:num w:numId="77">
    <w:abstractNumId w:val="66"/>
  </w:num>
  <w:num w:numId="78">
    <w:abstractNumId w:val="64"/>
  </w:num>
  <w:num w:numId="79">
    <w:abstractNumId w:val="48"/>
  </w:num>
  <w:num w:numId="80">
    <w:abstractNumId w:val="31"/>
  </w:num>
  <w:num w:numId="81">
    <w:abstractNumId w:val="79"/>
  </w:num>
  <w:num w:numId="82">
    <w:abstractNumId w:val="4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A7"/>
    <w:rsid w:val="00000A95"/>
    <w:rsid w:val="00000B15"/>
    <w:rsid w:val="00000B5A"/>
    <w:rsid w:val="000041FD"/>
    <w:rsid w:val="00004570"/>
    <w:rsid w:val="00006530"/>
    <w:rsid w:val="0000659E"/>
    <w:rsid w:val="000072C2"/>
    <w:rsid w:val="00007C95"/>
    <w:rsid w:val="00010C8F"/>
    <w:rsid w:val="00012CC6"/>
    <w:rsid w:val="00013C0D"/>
    <w:rsid w:val="00015135"/>
    <w:rsid w:val="00017BD6"/>
    <w:rsid w:val="000201E0"/>
    <w:rsid w:val="00021531"/>
    <w:rsid w:val="0002269A"/>
    <w:rsid w:val="0002303C"/>
    <w:rsid w:val="00024382"/>
    <w:rsid w:val="0002628A"/>
    <w:rsid w:val="000310B3"/>
    <w:rsid w:val="00031179"/>
    <w:rsid w:val="00031B6C"/>
    <w:rsid w:val="00033FBE"/>
    <w:rsid w:val="000344A7"/>
    <w:rsid w:val="00035B6D"/>
    <w:rsid w:val="000403AF"/>
    <w:rsid w:val="000403EE"/>
    <w:rsid w:val="000420E0"/>
    <w:rsid w:val="00042D7D"/>
    <w:rsid w:val="00043DFF"/>
    <w:rsid w:val="000444B5"/>
    <w:rsid w:val="00044D79"/>
    <w:rsid w:val="00045CE3"/>
    <w:rsid w:val="00053410"/>
    <w:rsid w:val="0005407E"/>
    <w:rsid w:val="00061EC3"/>
    <w:rsid w:val="00064A49"/>
    <w:rsid w:val="00064FBC"/>
    <w:rsid w:val="00065D21"/>
    <w:rsid w:val="000666B0"/>
    <w:rsid w:val="0007222E"/>
    <w:rsid w:val="00072679"/>
    <w:rsid w:val="0007697B"/>
    <w:rsid w:val="000774AE"/>
    <w:rsid w:val="00077C3F"/>
    <w:rsid w:val="0008000D"/>
    <w:rsid w:val="00080146"/>
    <w:rsid w:val="0008094F"/>
    <w:rsid w:val="00081744"/>
    <w:rsid w:val="00084284"/>
    <w:rsid w:val="00086400"/>
    <w:rsid w:val="0008773C"/>
    <w:rsid w:val="000920E8"/>
    <w:rsid w:val="000923CF"/>
    <w:rsid w:val="000933A6"/>
    <w:rsid w:val="000971A5"/>
    <w:rsid w:val="000A2A49"/>
    <w:rsid w:val="000A2B76"/>
    <w:rsid w:val="000A3B9C"/>
    <w:rsid w:val="000A3F9F"/>
    <w:rsid w:val="000A45FB"/>
    <w:rsid w:val="000A48F2"/>
    <w:rsid w:val="000A6578"/>
    <w:rsid w:val="000B02E3"/>
    <w:rsid w:val="000B0FD7"/>
    <w:rsid w:val="000B21D8"/>
    <w:rsid w:val="000B6670"/>
    <w:rsid w:val="000B668A"/>
    <w:rsid w:val="000B7656"/>
    <w:rsid w:val="000C090F"/>
    <w:rsid w:val="000C29CB"/>
    <w:rsid w:val="000C33CD"/>
    <w:rsid w:val="000C6284"/>
    <w:rsid w:val="000C68EA"/>
    <w:rsid w:val="000C7558"/>
    <w:rsid w:val="000D241B"/>
    <w:rsid w:val="000D3864"/>
    <w:rsid w:val="000E09F2"/>
    <w:rsid w:val="000E2C7A"/>
    <w:rsid w:val="000E4BC0"/>
    <w:rsid w:val="000E62C6"/>
    <w:rsid w:val="000E7172"/>
    <w:rsid w:val="000E7872"/>
    <w:rsid w:val="000F0F9F"/>
    <w:rsid w:val="000F2B78"/>
    <w:rsid w:val="000F3B1D"/>
    <w:rsid w:val="000F5B1E"/>
    <w:rsid w:val="001008F4"/>
    <w:rsid w:val="00101335"/>
    <w:rsid w:val="00101BA3"/>
    <w:rsid w:val="00104CA5"/>
    <w:rsid w:val="00106430"/>
    <w:rsid w:val="00106791"/>
    <w:rsid w:val="00106EE6"/>
    <w:rsid w:val="001074A1"/>
    <w:rsid w:val="00112BAF"/>
    <w:rsid w:val="00112F00"/>
    <w:rsid w:val="001132CA"/>
    <w:rsid w:val="00115390"/>
    <w:rsid w:val="001176A9"/>
    <w:rsid w:val="001208CB"/>
    <w:rsid w:val="001214BA"/>
    <w:rsid w:val="001240E4"/>
    <w:rsid w:val="00124BB5"/>
    <w:rsid w:val="00124D7A"/>
    <w:rsid w:val="0012522D"/>
    <w:rsid w:val="001325D9"/>
    <w:rsid w:val="00133660"/>
    <w:rsid w:val="001401BF"/>
    <w:rsid w:val="00140DC1"/>
    <w:rsid w:val="00144510"/>
    <w:rsid w:val="0015061D"/>
    <w:rsid w:val="001512D6"/>
    <w:rsid w:val="00151638"/>
    <w:rsid w:val="00153F37"/>
    <w:rsid w:val="001568FA"/>
    <w:rsid w:val="00160FF7"/>
    <w:rsid w:val="001628A6"/>
    <w:rsid w:val="00165BCD"/>
    <w:rsid w:val="00166D68"/>
    <w:rsid w:val="0016730A"/>
    <w:rsid w:val="00167F88"/>
    <w:rsid w:val="0017007F"/>
    <w:rsid w:val="00175964"/>
    <w:rsid w:val="001763F0"/>
    <w:rsid w:val="001764B9"/>
    <w:rsid w:val="00176ADA"/>
    <w:rsid w:val="00176FFC"/>
    <w:rsid w:val="001771C1"/>
    <w:rsid w:val="00177594"/>
    <w:rsid w:val="00177D30"/>
    <w:rsid w:val="00183DAC"/>
    <w:rsid w:val="001844B1"/>
    <w:rsid w:val="0018462F"/>
    <w:rsid w:val="001926FA"/>
    <w:rsid w:val="001957B8"/>
    <w:rsid w:val="00195937"/>
    <w:rsid w:val="00197072"/>
    <w:rsid w:val="00197AC6"/>
    <w:rsid w:val="001A0AC7"/>
    <w:rsid w:val="001A383B"/>
    <w:rsid w:val="001A5CC5"/>
    <w:rsid w:val="001A6407"/>
    <w:rsid w:val="001A6876"/>
    <w:rsid w:val="001A71F1"/>
    <w:rsid w:val="001B03B1"/>
    <w:rsid w:val="001B29B7"/>
    <w:rsid w:val="001B3A4D"/>
    <w:rsid w:val="001B66EB"/>
    <w:rsid w:val="001C0AC8"/>
    <w:rsid w:val="001C11B5"/>
    <w:rsid w:val="001C1506"/>
    <w:rsid w:val="001C274F"/>
    <w:rsid w:val="001C4567"/>
    <w:rsid w:val="001C696F"/>
    <w:rsid w:val="001D10BF"/>
    <w:rsid w:val="001D36EE"/>
    <w:rsid w:val="001D75DA"/>
    <w:rsid w:val="001D7D96"/>
    <w:rsid w:val="001E1045"/>
    <w:rsid w:val="001F1278"/>
    <w:rsid w:val="001F41FF"/>
    <w:rsid w:val="001F44F4"/>
    <w:rsid w:val="001F51F9"/>
    <w:rsid w:val="001F765B"/>
    <w:rsid w:val="00202A12"/>
    <w:rsid w:val="002030D0"/>
    <w:rsid w:val="002044C2"/>
    <w:rsid w:val="002126E6"/>
    <w:rsid w:val="00215132"/>
    <w:rsid w:val="002168BC"/>
    <w:rsid w:val="0021692A"/>
    <w:rsid w:val="00216A15"/>
    <w:rsid w:val="0022181E"/>
    <w:rsid w:val="00222730"/>
    <w:rsid w:val="002238F8"/>
    <w:rsid w:val="002240CB"/>
    <w:rsid w:val="002244CC"/>
    <w:rsid w:val="00226707"/>
    <w:rsid w:val="002271BD"/>
    <w:rsid w:val="00233FAD"/>
    <w:rsid w:val="0023423E"/>
    <w:rsid w:val="00234291"/>
    <w:rsid w:val="00237126"/>
    <w:rsid w:val="00240904"/>
    <w:rsid w:val="00243762"/>
    <w:rsid w:val="00244130"/>
    <w:rsid w:val="002449A6"/>
    <w:rsid w:val="002460EB"/>
    <w:rsid w:val="00247380"/>
    <w:rsid w:val="0025263E"/>
    <w:rsid w:val="0025412C"/>
    <w:rsid w:val="0025773D"/>
    <w:rsid w:val="002625BC"/>
    <w:rsid w:val="00264906"/>
    <w:rsid w:val="002669A0"/>
    <w:rsid w:val="0026726B"/>
    <w:rsid w:val="0027061A"/>
    <w:rsid w:val="00271CA6"/>
    <w:rsid w:val="002720CD"/>
    <w:rsid w:val="00274C12"/>
    <w:rsid w:val="002769DE"/>
    <w:rsid w:val="00280E55"/>
    <w:rsid w:val="00281335"/>
    <w:rsid w:val="00282DED"/>
    <w:rsid w:val="00283704"/>
    <w:rsid w:val="002854F8"/>
    <w:rsid w:val="002857C5"/>
    <w:rsid w:val="00287145"/>
    <w:rsid w:val="002871A2"/>
    <w:rsid w:val="00287E49"/>
    <w:rsid w:val="00290971"/>
    <w:rsid w:val="00290D31"/>
    <w:rsid w:val="00293EEB"/>
    <w:rsid w:val="002948D6"/>
    <w:rsid w:val="002A46B7"/>
    <w:rsid w:val="002A63CB"/>
    <w:rsid w:val="002A7D8B"/>
    <w:rsid w:val="002B0128"/>
    <w:rsid w:val="002B35E5"/>
    <w:rsid w:val="002B49C5"/>
    <w:rsid w:val="002B6E11"/>
    <w:rsid w:val="002C1713"/>
    <w:rsid w:val="002C1BA7"/>
    <w:rsid w:val="002C1E0F"/>
    <w:rsid w:val="002C21C4"/>
    <w:rsid w:val="002C27BC"/>
    <w:rsid w:val="002C3347"/>
    <w:rsid w:val="002C45BB"/>
    <w:rsid w:val="002C5B64"/>
    <w:rsid w:val="002C6415"/>
    <w:rsid w:val="002D032D"/>
    <w:rsid w:val="002D156E"/>
    <w:rsid w:val="002D2FE2"/>
    <w:rsid w:val="002D4755"/>
    <w:rsid w:val="002D4E2B"/>
    <w:rsid w:val="002D733A"/>
    <w:rsid w:val="002E0EA9"/>
    <w:rsid w:val="002E120C"/>
    <w:rsid w:val="002E12C1"/>
    <w:rsid w:val="002E41BE"/>
    <w:rsid w:val="002F0401"/>
    <w:rsid w:val="002F1057"/>
    <w:rsid w:val="002F163B"/>
    <w:rsid w:val="002F1E03"/>
    <w:rsid w:val="002F2B4A"/>
    <w:rsid w:val="002F31CA"/>
    <w:rsid w:val="002F342B"/>
    <w:rsid w:val="002F4A4A"/>
    <w:rsid w:val="002F4A7A"/>
    <w:rsid w:val="002F6D20"/>
    <w:rsid w:val="002F7E10"/>
    <w:rsid w:val="00301EB8"/>
    <w:rsid w:val="00303469"/>
    <w:rsid w:val="0030437A"/>
    <w:rsid w:val="0031234D"/>
    <w:rsid w:val="00312B3A"/>
    <w:rsid w:val="00320917"/>
    <w:rsid w:val="003305BD"/>
    <w:rsid w:val="00331532"/>
    <w:rsid w:val="00334B48"/>
    <w:rsid w:val="00337D07"/>
    <w:rsid w:val="00337F2E"/>
    <w:rsid w:val="003403EE"/>
    <w:rsid w:val="003409FB"/>
    <w:rsid w:val="00340E43"/>
    <w:rsid w:val="003411DA"/>
    <w:rsid w:val="0034265C"/>
    <w:rsid w:val="0034335C"/>
    <w:rsid w:val="00344036"/>
    <w:rsid w:val="00344439"/>
    <w:rsid w:val="003451A5"/>
    <w:rsid w:val="003472FC"/>
    <w:rsid w:val="0034731A"/>
    <w:rsid w:val="00351FAD"/>
    <w:rsid w:val="003531CE"/>
    <w:rsid w:val="003563CE"/>
    <w:rsid w:val="00356A14"/>
    <w:rsid w:val="0035702F"/>
    <w:rsid w:val="0035750B"/>
    <w:rsid w:val="00357A66"/>
    <w:rsid w:val="0036042C"/>
    <w:rsid w:val="00361F45"/>
    <w:rsid w:val="003650BC"/>
    <w:rsid w:val="00365A01"/>
    <w:rsid w:val="00365E01"/>
    <w:rsid w:val="003700C4"/>
    <w:rsid w:val="00370D2D"/>
    <w:rsid w:val="00370FD0"/>
    <w:rsid w:val="00371ACF"/>
    <w:rsid w:val="00372E37"/>
    <w:rsid w:val="00373072"/>
    <w:rsid w:val="00376AF0"/>
    <w:rsid w:val="003771CF"/>
    <w:rsid w:val="00384DA9"/>
    <w:rsid w:val="00385846"/>
    <w:rsid w:val="0038620A"/>
    <w:rsid w:val="00386CE2"/>
    <w:rsid w:val="00390024"/>
    <w:rsid w:val="00392FC4"/>
    <w:rsid w:val="00393EAA"/>
    <w:rsid w:val="003A0B9B"/>
    <w:rsid w:val="003A1C20"/>
    <w:rsid w:val="003A2051"/>
    <w:rsid w:val="003A338E"/>
    <w:rsid w:val="003A5194"/>
    <w:rsid w:val="003A519F"/>
    <w:rsid w:val="003A5FF9"/>
    <w:rsid w:val="003A6A78"/>
    <w:rsid w:val="003A7278"/>
    <w:rsid w:val="003B0CB9"/>
    <w:rsid w:val="003B3149"/>
    <w:rsid w:val="003B4313"/>
    <w:rsid w:val="003B7119"/>
    <w:rsid w:val="003C364F"/>
    <w:rsid w:val="003C644D"/>
    <w:rsid w:val="003C6AF3"/>
    <w:rsid w:val="003C7F9F"/>
    <w:rsid w:val="003C7FD8"/>
    <w:rsid w:val="003D1D7E"/>
    <w:rsid w:val="003D3C22"/>
    <w:rsid w:val="003E0817"/>
    <w:rsid w:val="003E0927"/>
    <w:rsid w:val="003E0C97"/>
    <w:rsid w:val="003E36EE"/>
    <w:rsid w:val="003E449D"/>
    <w:rsid w:val="003E563A"/>
    <w:rsid w:val="003E6652"/>
    <w:rsid w:val="003E6AD8"/>
    <w:rsid w:val="003E6B99"/>
    <w:rsid w:val="003E6E62"/>
    <w:rsid w:val="003F2206"/>
    <w:rsid w:val="003F24AA"/>
    <w:rsid w:val="003F27A8"/>
    <w:rsid w:val="003F332A"/>
    <w:rsid w:val="003F47FD"/>
    <w:rsid w:val="003F53AC"/>
    <w:rsid w:val="003F7C70"/>
    <w:rsid w:val="0041006A"/>
    <w:rsid w:val="00410890"/>
    <w:rsid w:val="004147B7"/>
    <w:rsid w:val="0041682D"/>
    <w:rsid w:val="004176D8"/>
    <w:rsid w:val="00420DF2"/>
    <w:rsid w:val="00421C7C"/>
    <w:rsid w:val="00422A47"/>
    <w:rsid w:val="0042382F"/>
    <w:rsid w:val="004246C6"/>
    <w:rsid w:val="004264DC"/>
    <w:rsid w:val="00427709"/>
    <w:rsid w:val="00430EB6"/>
    <w:rsid w:val="0043123F"/>
    <w:rsid w:val="00431943"/>
    <w:rsid w:val="004319D8"/>
    <w:rsid w:val="00431CF5"/>
    <w:rsid w:val="004324CB"/>
    <w:rsid w:val="00435004"/>
    <w:rsid w:val="00437C8F"/>
    <w:rsid w:val="004421F9"/>
    <w:rsid w:val="00443531"/>
    <w:rsid w:val="00443FC5"/>
    <w:rsid w:val="00444DF7"/>
    <w:rsid w:val="00450A6D"/>
    <w:rsid w:val="004511FF"/>
    <w:rsid w:val="00452075"/>
    <w:rsid w:val="00453004"/>
    <w:rsid w:val="0045469E"/>
    <w:rsid w:val="004551CE"/>
    <w:rsid w:val="00456212"/>
    <w:rsid w:val="00460789"/>
    <w:rsid w:val="00460E0E"/>
    <w:rsid w:val="00461452"/>
    <w:rsid w:val="0046231B"/>
    <w:rsid w:val="00462F36"/>
    <w:rsid w:val="004662CE"/>
    <w:rsid w:val="00466E7A"/>
    <w:rsid w:val="00467DE6"/>
    <w:rsid w:val="0047132A"/>
    <w:rsid w:val="004727E9"/>
    <w:rsid w:val="0047349B"/>
    <w:rsid w:val="00473DAE"/>
    <w:rsid w:val="00474419"/>
    <w:rsid w:val="00474810"/>
    <w:rsid w:val="004809CD"/>
    <w:rsid w:val="00482089"/>
    <w:rsid w:val="0048257E"/>
    <w:rsid w:val="00483EBA"/>
    <w:rsid w:val="00485BEA"/>
    <w:rsid w:val="004908EE"/>
    <w:rsid w:val="00492627"/>
    <w:rsid w:val="00493FC0"/>
    <w:rsid w:val="004958C1"/>
    <w:rsid w:val="004A3091"/>
    <w:rsid w:val="004A3F77"/>
    <w:rsid w:val="004A4413"/>
    <w:rsid w:val="004A58C0"/>
    <w:rsid w:val="004A7BF6"/>
    <w:rsid w:val="004B063E"/>
    <w:rsid w:val="004B25D5"/>
    <w:rsid w:val="004B4979"/>
    <w:rsid w:val="004B51B6"/>
    <w:rsid w:val="004B7317"/>
    <w:rsid w:val="004C05A1"/>
    <w:rsid w:val="004C06B4"/>
    <w:rsid w:val="004C185B"/>
    <w:rsid w:val="004C1AA0"/>
    <w:rsid w:val="004C3064"/>
    <w:rsid w:val="004C5DF8"/>
    <w:rsid w:val="004C6310"/>
    <w:rsid w:val="004C781C"/>
    <w:rsid w:val="004D1452"/>
    <w:rsid w:val="004D4516"/>
    <w:rsid w:val="004D6FA6"/>
    <w:rsid w:val="004D754E"/>
    <w:rsid w:val="004E2AB1"/>
    <w:rsid w:val="004E3353"/>
    <w:rsid w:val="004E3F9B"/>
    <w:rsid w:val="004E4F2B"/>
    <w:rsid w:val="004E55AB"/>
    <w:rsid w:val="004F0DB5"/>
    <w:rsid w:val="004F2BEC"/>
    <w:rsid w:val="004F5D3E"/>
    <w:rsid w:val="004F691D"/>
    <w:rsid w:val="004F7340"/>
    <w:rsid w:val="00500978"/>
    <w:rsid w:val="00501A9F"/>
    <w:rsid w:val="00501D48"/>
    <w:rsid w:val="00505A07"/>
    <w:rsid w:val="005063C8"/>
    <w:rsid w:val="00506E8A"/>
    <w:rsid w:val="00510D67"/>
    <w:rsid w:val="0051188D"/>
    <w:rsid w:val="00512E2C"/>
    <w:rsid w:val="005151EA"/>
    <w:rsid w:val="005169E8"/>
    <w:rsid w:val="00521392"/>
    <w:rsid w:val="0052314D"/>
    <w:rsid w:val="00523EA6"/>
    <w:rsid w:val="00531378"/>
    <w:rsid w:val="00531E6A"/>
    <w:rsid w:val="00531EEC"/>
    <w:rsid w:val="0053426A"/>
    <w:rsid w:val="00534DC0"/>
    <w:rsid w:val="005358D4"/>
    <w:rsid w:val="00541953"/>
    <w:rsid w:val="005440FD"/>
    <w:rsid w:val="00544F8F"/>
    <w:rsid w:val="00546000"/>
    <w:rsid w:val="00547B4F"/>
    <w:rsid w:val="0055110D"/>
    <w:rsid w:val="005525FA"/>
    <w:rsid w:val="00552B03"/>
    <w:rsid w:val="00554E66"/>
    <w:rsid w:val="00556C97"/>
    <w:rsid w:val="005576A6"/>
    <w:rsid w:val="00560239"/>
    <w:rsid w:val="00560259"/>
    <w:rsid w:val="00562EE1"/>
    <w:rsid w:val="0056569F"/>
    <w:rsid w:val="00571BEB"/>
    <w:rsid w:val="005759E1"/>
    <w:rsid w:val="005778E0"/>
    <w:rsid w:val="0058134D"/>
    <w:rsid w:val="005825F5"/>
    <w:rsid w:val="0058429E"/>
    <w:rsid w:val="005866D2"/>
    <w:rsid w:val="00587A6B"/>
    <w:rsid w:val="0059049F"/>
    <w:rsid w:val="0059070A"/>
    <w:rsid w:val="00591356"/>
    <w:rsid w:val="005916DC"/>
    <w:rsid w:val="00592394"/>
    <w:rsid w:val="005952B9"/>
    <w:rsid w:val="00595A8A"/>
    <w:rsid w:val="00595DFF"/>
    <w:rsid w:val="005A1051"/>
    <w:rsid w:val="005A3DB1"/>
    <w:rsid w:val="005A70C2"/>
    <w:rsid w:val="005A732B"/>
    <w:rsid w:val="005B18DA"/>
    <w:rsid w:val="005B5B32"/>
    <w:rsid w:val="005B5F14"/>
    <w:rsid w:val="005B5F50"/>
    <w:rsid w:val="005B775B"/>
    <w:rsid w:val="005C1F3F"/>
    <w:rsid w:val="005C5AD5"/>
    <w:rsid w:val="005D23B6"/>
    <w:rsid w:val="005D57C5"/>
    <w:rsid w:val="005D7FBA"/>
    <w:rsid w:val="005E0EC9"/>
    <w:rsid w:val="005E319C"/>
    <w:rsid w:val="005E369C"/>
    <w:rsid w:val="005E5E7E"/>
    <w:rsid w:val="005E65F9"/>
    <w:rsid w:val="005F0B1B"/>
    <w:rsid w:val="005F1B61"/>
    <w:rsid w:val="005F2E9D"/>
    <w:rsid w:val="005F3E30"/>
    <w:rsid w:val="00600404"/>
    <w:rsid w:val="00600749"/>
    <w:rsid w:val="00601A90"/>
    <w:rsid w:val="00605509"/>
    <w:rsid w:val="0060717C"/>
    <w:rsid w:val="00611B82"/>
    <w:rsid w:val="00612755"/>
    <w:rsid w:val="00613655"/>
    <w:rsid w:val="00614ABE"/>
    <w:rsid w:val="00616142"/>
    <w:rsid w:val="0061733C"/>
    <w:rsid w:val="00617B02"/>
    <w:rsid w:val="00617FDA"/>
    <w:rsid w:val="00620235"/>
    <w:rsid w:val="006213FE"/>
    <w:rsid w:val="0062189F"/>
    <w:rsid w:val="00622793"/>
    <w:rsid w:val="00624A7B"/>
    <w:rsid w:val="0062597E"/>
    <w:rsid w:val="006273AC"/>
    <w:rsid w:val="00630A33"/>
    <w:rsid w:val="0063280B"/>
    <w:rsid w:val="00633077"/>
    <w:rsid w:val="00633EA3"/>
    <w:rsid w:val="00635C3F"/>
    <w:rsid w:val="0063612F"/>
    <w:rsid w:val="00636181"/>
    <w:rsid w:val="006423F9"/>
    <w:rsid w:val="006425A7"/>
    <w:rsid w:val="00643A84"/>
    <w:rsid w:val="00643AA4"/>
    <w:rsid w:val="00643ED6"/>
    <w:rsid w:val="00644255"/>
    <w:rsid w:val="00645786"/>
    <w:rsid w:val="00646189"/>
    <w:rsid w:val="00646FE9"/>
    <w:rsid w:val="0065123D"/>
    <w:rsid w:val="0065163C"/>
    <w:rsid w:val="00651BC0"/>
    <w:rsid w:val="00651FA2"/>
    <w:rsid w:val="006528AC"/>
    <w:rsid w:val="00653605"/>
    <w:rsid w:val="00654886"/>
    <w:rsid w:val="00654DB0"/>
    <w:rsid w:val="00655537"/>
    <w:rsid w:val="00656C91"/>
    <w:rsid w:val="00660F08"/>
    <w:rsid w:val="00663B02"/>
    <w:rsid w:val="00664A62"/>
    <w:rsid w:val="006656C5"/>
    <w:rsid w:val="0067378F"/>
    <w:rsid w:val="00673CE9"/>
    <w:rsid w:val="0067478E"/>
    <w:rsid w:val="00674BB2"/>
    <w:rsid w:val="00675632"/>
    <w:rsid w:val="0067660C"/>
    <w:rsid w:val="0068070C"/>
    <w:rsid w:val="00682026"/>
    <w:rsid w:val="00682E76"/>
    <w:rsid w:val="00684A27"/>
    <w:rsid w:val="006857AC"/>
    <w:rsid w:val="006859F0"/>
    <w:rsid w:val="00685D37"/>
    <w:rsid w:val="00685EB0"/>
    <w:rsid w:val="00686122"/>
    <w:rsid w:val="006866B4"/>
    <w:rsid w:val="00690277"/>
    <w:rsid w:val="00690B1C"/>
    <w:rsid w:val="0069183B"/>
    <w:rsid w:val="006918D7"/>
    <w:rsid w:val="00694550"/>
    <w:rsid w:val="006A379D"/>
    <w:rsid w:val="006A3BB2"/>
    <w:rsid w:val="006A7511"/>
    <w:rsid w:val="006A778D"/>
    <w:rsid w:val="006B0069"/>
    <w:rsid w:val="006B093D"/>
    <w:rsid w:val="006B09C6"/>
    <w:rsid w:val="006B0BDA"/>
    <w:rsid w:val="006B53CD"/>
    <w:rsid w:val="006B53E3"/>
    <w:rsid w:val="006B5FE4"/>
    <w:rsid w:val="006B779E"/>
    <w:rsid w:val="006B7B2E"/>
    <w:rsid w:val="006C083D"/>
    <w:rsid w:val="006C0DCA"/>
    <w:rsid w:val="006C1428"/>
    <w:rsid w:val="006C4FF8"/>
    <w:rsid w:val="006C5D16"/>
    <w:rsid w:val="006D0899"/>
    <w:rsid w:val="006D157E"/>
    <w:rsid w:val="006D1C66"/>
    <w:rsid w:val="006D1F7A"/>
    <w:rsid w:val="006D21A5"/>
    <w:rsid w:val="006D23CA"/>
    <w:rsid w:val="006D2C22"/>
    <w:rsid w:val="006D492F"/>
    <w:rsid w:val="006D7BEC"/>
    <w:rsid w:val="006E4BE8"/>
    <w:rsid w:val="006E6248"/>
    <w:rsid w:val="006F11FB"/>
    <w:rsid w:val="006F5DD2"/>
    <w:rsid w:val="00700D24"/>
    <w:rsid w:val="00700DC1"/>
    <w:rsid w:val="00712461"/>
    <w:rsid w:val="00712536"/>
    <w:rsid w:val="007157C6"/>
    <w:rsid w:val="007157E7"/>
    <w:rsid w:val="0071593B"/>
    <w:rsid w:val="00715FBA"/>
    <w:rsid w:val="00716BD5"/>
    <w:rsid w:val="00720713"/>
    <w:rsid w:val="007251B9"/>
    <w:rsid w:val="00726544"/>
    <w:rsid w:val="00726E60"/>
    <w:rsid w:val="00727122"/>
    <w:rsid w:val="007301BF"/>
    <w:rsid w:val="007308CD"/>
    <w:rsid w:val="00733A68"/>
    <w:rsid w:val="0073632E"/>
    <w:rsid w:val="00745760"/>
    <w:rsid w:val="00745CA8"/>
    <w:rsid w:val="00745EBC"/>
    <w:rsid w:val="00751AF6"/>
    <w:rsid w:val="007526B3"/>
    <w:rsid w:val="0075304C"/>
    <w:rsid w:val="0075306E"/>
    <w:rsid w:val="007547C0"/>
    <w:rsid w:val="00755B6B"/>
    <w:rsid w:val="00755FBA"/>
    <w:rsid w:val="00756EAF"/>
    <w:rsid w:val="007607B1"/>
    <w:rsid w:val="00762AF4"/>
    <w:rsid w:val="00764D38"/>
    <w:rsid w:val="00765333"/>
    <w:rsid w:val="00766730"/>
    <w:rsid w:val="007668B0"/>
    <w:rsid w:val="00767BBE"/>
    <w:rsid w:val="00772E5E"/>
    <w:rsid w:val="00774C07"/>
    <w:rsid w:val="00775BBA"/>
    <w:rsid w:val="00776903"/>
    <w:rsid w:val="007771D4"/>
    <w:rsid w:val="0078149E"/>
    <w:rsid w:val="00781900"/>
    <w:rsid w:val="00783653"/>
    <w:rsid w:val="00784038"/>
    <w:rsid w:val="00785A51"/>
    <w:rsid w:val="00786118"/>
    <w:rsid w:val="0079318E"/>
    <w:rsid w:val="0079389A"/>
    <w:rsid w:val="00795056"/>
    <w:rsid w:val="00795E25"/>
    <w:rsid w:val="00797409"/>
    <w:rsid w:val="007A0757"/>
    <w:rsid w:val="007A58F8"/>
    <w:rsid w:val="007A6015"/>
    <w:rsid w:val="007A7755"/>
    <w:rsid w:val="007B07A6"/>
    <w:rsid w:val="007B1405"/>
    <w:rsid w:val="007B1F69"/>
    <w:rsid w:val="007B3160"/>
    <w:rsid w:val="007B3BDF"/>
    <w:rsid w:val="007B3DC9"/>
    <w:rsid w:val="007B51E4"/>
    <w:rsid w:val="007B611E"/>
    <w:rsid w:val="007B654D"/>
    <w:rsid w:val="007C0E31"/>
    <w:rsid w:val="007C36B7"/>
    <w:rsid w:val="007C460F"/>
    <w:rsid w:val="007C4FD3"/>
    <w:rsid w:val="007C6BE9"/>
    <w:rsid w:val="007D286A"/>
    <w:rsid w:val="007D34DF"/>
    <w:rsid w:val="007D5394"/>
    <w:rsid w:val="007D6FA7"/>
    <w:rsid w:val="007D7DFB"/>
    <w:rsid w:val="007E0A33"/>
    <w:rsid w:val="007E2C65"/>
    <w:rsid w:val="007E3CEF"/>
    <w:rsid w:val="007E49CA"/>
    <w:rsid w:val="007E7381"/>
    <w:rsid w:val="007F0DD4"/>
    <w:rsid w:val="007F266F"/>
    <w:rsid w:val="007F29FC"/>
    <w:rsid w:val="007F482C"/>
    <w:rsid w:val="007F580A"/>
    <w:rsid w:val="00800915"/>
    <w:rsid w:val="00800A82"/>
    <w:rsid w:val="00801486"/>
    <w:rsid w:val="0080459B"/>
    <w:rsid w:val="0081121D"/>
    <w:rsid w:val="00811BDF"/>
    <w:rsid w:val="0081465E"/>
    <w:rsid w:val="00814B06"/>
    <w:rsid w:val="008169CF"/>
    <w:rsid w:val="00816E3F"/>
    <w:rsid w:val="00817F71"/>
    <w:rsid w:val="00820755"/>
    <w:rsid w:val="00820D5F"/>
    <w:rsid w:val="008220DD"/>
    <w:rsid w:val="0082220E"/>
    <w:rsid w:val="008237AF"/>
    <w:rsid w:val="00824FCD"/>
    <w:rsid w:val="00825548"/>
    <w:rsid w:val="008265FA"/>
    <w:rsid w:val="008309EC"/>
    <w:rsid w:val="00831E8F"/>
    <w:rsid w:val="008320EF"/>
    <w:rsid w:val="0083228D"/>
    <w:rsid w:val="00832D30"/>
    <w:rsid w:val="00835496"/>
    <w:rsid w:val="0083606E"/>
    <w:rsid w:val="008411FD"/>
    <w:rsid w:val="00844992"/>
    <w:rsid w:val="00846C8D"/>
    <w:rsid w:val="00852773"/>
    <w:rsid w:val="00852E9B"/>
    <w:rsid w:val="00853710"/>
    <w:rsid w:val="00855912"/>
    <w:rsid w:val="0085718F"/>
    <w:rsid w:val="00857BD4"/>
    <w:rsid w:val="008635C9"/>
    <w:rsid w:val="008670E4"/>
    <w:rsid w:val="00867216"/>
    <w:rsid w:val="0086733D"/>
    <w:rsid w:val="0086774B"/>
    <w:rsid w:val="00873D13"/>
    <w:rsid w:val="0087773F"/>
    <w:rsid w:val="0088348F"/>
    <w:rsid w:val="008857E5"/>
    <w:rsid w:val="0088683F"/>
    <w:rsid w:val="0088692F"/>
    <w:rsid w:val="00887667"/>
    <w:rsid w:val="00890525"/>
    <w:rsid w:val="0089103F"/>
    <w:rsid w:val="00893973"/>
    <w:rsid w:val="00897504"/>
    <w:rsid w:val="00897C05"/>
    <w:rsid w:val="008A1778"/>
    <w:rsid w:val="008A1C55"/>
    <w:rsid w:val="008A3C10"/>
    <w:rsid w:val="008A402B"/>
    <w:rsid w:val="008A4443"/>
    <w:rsid w:val="008A4E21"/>
    <w:rsid w:val="008A752A"/>
    <w:rsid w:val="008B15D1"/>
    <w:rsid w:val="008B1DEE"/>
    <w:rsid w:val="008B4B2F"/>
    <w:rsid w:val="008B6C94"/>
    <w:rsid w:val="008C298B"/>
    <w:rsid w:val="008C4A8B"/>
    <w:rsid w:val="008C5157"/>
    <w:rsid w:val="008C59A7"/>
    <w:rsid w:val="008C6339"/>
    <w:rsid w:val="008C7838"/>
    <w:rsid w:val="008D05C7"/>
    <w:rsid w:val="008D314E"/>
    <w:rsid w:val="008D3B47"/>
    <w:rsid w:val="008D5CD0"/>
    <w:rsid w:val="008D602A"/>
    <w:rsid w:val="008D6A8F"/>
    <w:rsid w:val="008E22AC"/>
    <w:rsid w:val="008E4447"/>
    <w:rsid w:val="008E4480"/>
    <w:rsid w:val="008E5EE7"/>
    <w:rsid w:val="008E6D59"/>
    <w:rsid w:val="008F033B"/>
    <w:rsid w:val="008F0C8D"/>
    <w:rsid w:val="008F0EC8"/>
    <w:rsid w:val="008F0F44"/>
    <w:rsid w:val="008F140E"/>
    <w:rsid w:val="008F1865"/>
    <w:rsid w:val="008F324F"/>
    <w:rsid w:val="008F4D2D"/>
    <w:rsid w:val="008F5741"/>
    <w:rsid w:val="008F5956"/>
    <w:rsid w:val="008F7891"/>
    <w:rsid w:val="00900B9A"/>
    <w:rsid w:val="0090192B"/>
    <w:rsid w:val="009021E2"/>
    <w:rsid w:val="00906553"/>
    <w:rsid w:val="00906DF5"/>
    <w:rsid w:val="009102D8"/>
    <w:rsid w:val="009107C6"/>
    <w:rsid w:val="0091231F"/>
    <w:rsid w:val="00913CBD"/>
    <w:rsid w:val="00920744"/>
    <w:rsid w:val="0092279E"/>
    <w:rsid w:val="0092529D"/>
    <w:rsid w:val="00930973"/>
    <w:rsid w:val="00930EA0"/>
    <w:rsid w:val="00931072"/>
    <w:rsid w:val="009311C1"/>
    <w:rsid w:val="00931866"/>
    <w:rsid w:val="00933239"/>
    <w:rsid w:val="0093585C"/>
    <w:rsid w:val="00935E53"/>
    <w:rsid w:val="00936113"/>
    <w:rsid w:val="00937BE4"/>
    <w:rsid w:val="0094199B"/>
    <w:rsid w:val="00941D09"/>
    <w:rsid w:val="00942895"/>
    <w:rsid w:val="009446CC"/>
    <w:rsid w:val="009452C9"/>
    <w:rsid w:val="00947058"/>
    <w:rsid w:val="00947894"/>
    <w:rsid w:val="00950565"/>
    <w:rsid w:val="00952852"/>
    <w:rsid w:val="00952B19"/>
    <w:rsid w:val="00952B68"/>
    <w:rsid w:val="00954DE8"/>
    <w:rsid w:val="00956116"/>
    <w:rsid w:val="00962542"/>
    <w:rsid w:val="0096335D"/>
    <w:rsid w:val="00963C65"/>
    <w:rsid w:val="009651BC"/>
    <w:rsid w:val="00965F40"/>
    <w:rsid w:val="009675DA"/>
    <w:rsid w:val="00970548"/>
    <w:rsid w:val="0097066F"/>
    <w:rsid w:val="00972666"/>
    <w:rsid w:val="00972737"/>
    <w:rsid w:val="0097279D"/>
    <w:rsid w:val="00973396"/>
    <w:rsid w:val="0097341A"/>
    <w:rsid w:val="00976638"/>
    <w:rsid w:val="00977D8C"/>
    <w:rsid w:val="00980CCC"/>
    <w:rsid w:val="00982AC7"/>
    <w:rsid w:val="00986155"/>
    <w:rsid w:val="00990F4A"/>
    <w:rsid w:val="00994905"/>
    <w:rsid w:val="009957C2"/>
    <w:rsid w:val="00995AEF"/>
    <w:rsid w:val="009A22BA"/>
    <w:rsid w:val="009A29A5"/>
    <w:rsid w:val="009A4D96"/>
    <w:rsid w:val="009A58B6"/>
    <w:rsid w:val="009A6A81"/>
    <w:rsid w:val="009A6BF8"/>
    <w:rsid w:val="009B1587"/>
    <w:rsid w:val="009C26AD"/>
    <w:rsid w:val="009C427D"/>
    <w:rsid w:val="009C51F7"/>
    <w:rsid w:val="009C5BA8"/>
    <w:rsid w:val="009D02D7"/>
    <w:rsid w:val="009D4AFB"/>
    <w:rsid w:val="009D7C85"/>
    <w:rsid w:val="009D7FB3"/>
    <w:rsid w:val="009E1107"/>
    <w:rsid w:val="009E1315"/>
    <w:rsid w:val="009E617B"/>
    <w:rsid w:val="009E700B"/>
    <w:rsid w:val="009E7780"/>
    <w:rsid w:val="009F1435"/>
    <w:rsid w:val="009F3D1B"/>
    <w:rsid w:val="009F5759"/>
    <w:rsid w:val="009F7BA8"/>
    <w:rsid w:val="00A00C64"/>
    <w:rsid w:val="00A010E5"/>
    <w:rsid w:val="00A03E58"/>
    <w:rsid w:val="00A04BB0"/>
    <w:rsid w:val="00A053E6"/>
    <w:rsid w:val="00A060C3"/>
    <w:rsid w:val="00A0631A"/>
    <w:rsid w:val="00A06A19"/>
    <w:rsid w:val="00A12D9C"/>
    <w:rsid w:val="00A13E38"/>
    <w:rsid w:val="00A16460"/>
    <w:rsid w:val="00A20232"/>
    <w:rsid w:val="00A21174"/>
    <w:rsid w:val="00A21405"/>
    <w:rsid w:val="00A23207"/>
    <w:rsid w:val="00A23994"/>
    <w:rsid w:val="00A25984"/>
    <w:rsid w:val="00A313C3"/>
    <w:rsid w:val="00A31D47"/>
    <w:rsid w:val="00A31F5D"/>
    <w:rsid w:val="00A32642"/>
    <w:rsid w:val="00A3404B"/>
    <w:rsid w:val="00A34BF0"/>
    <w:rsid w:val="00A34FDD"/>
    <w:rsid w:val="00A35690"/>
    <w:rsid w:val="00A3625D"/>
    <w:rsid w:val="00A37B5B"/>
    <w:rsid w:val="00A435EA"/>
    <w:rsid w:val="00A446FD"/>
    <w:rsid w:val="00A46716"/>
    <w:rsid w:val="00A549F1"/>
    <w:rsid w:val="00A54E90"/>
    <w:rsid w:val="00A57FE2"/>
    <w:rsid w:val="00A643DA"/>
    <w:rsid w:val="00A6613C"/>
    <w:rsid w:val="00A665B1"/>
    <w:rsid w:val="00A67C97"/>
    <w:rsid w:val="00A7074A"/>
    <w:rsid w:val="00A70D33"/>
    <w:rsid w:val="00A7210B"/>
    <w:rsid w:val="00A7212C"/>
    <w:rsid w:val="00A7358B"/>
    <w:rsid w:val="00A7465D"/>
    <w:rsid w:val="00A75D12"/>
    <w:rsid w:val="00A7659B"/>
    <w:rsid w:val="00A80AAB"/>
    <w:rsid w:val="00A81B0E"/>
    <w:rsid w:val="00A83AAD"/>
    <w:rsid w:val="00A8562A"/>
    <w:rsid w:val="00A85866"/>
    <w:rsid w:val="00A934A6"/>
    <w:rsid w:val="00A96109"/>
    <w:rsid w:val="00AA2B35"/>
    <w:rsid w:val="00AA50FD"/>
    <w:rsid w:val="00AA546F"/>
    <w:rsid w:val="00AA6F95"/>
    <w:rsid w:val="00AB0E1E"/>
    <w:rsid w:val="00AB603D"/>
    <w:rsid w:val="00AB799C"/>
    <w:rsid w:val="00AB7A52"/>
    <w:rsid w:val="00AC0DC5"/>
    <w:rsid w:val="00AC34AD"/>
    <w:rsid w:val="00AC7051"/>
    <w:rsid w:val="00AC7D7D"/>
    <w:rsid w:val="00AD039C"/>
    <w:rsid w:val="00AD0C9B"/>
    <w:rsid w:val="00AD294B"/>
    <w:rsid w:val="00AD6455"/>
    <w:rsid w:val="00AD757D"/>
    <w:rsid w:val="00AD7FD2"/>
    <w:rsid w:val="00AE0016"/>
    <w:rsid w:val="00AE1442"/>
    <w:rsid w:val="00AE1BA5"/>
    <w:rsid w:val="00AF1830"/>
    <w:rsid w:val="00AF1FC6"/>
    <w:rsid w:val="00AF27E1"/>
    <w:rsid w:val="00AF3AAB"/>
    <w:rsid w:val="00AF553A"/>
    <w:rsid w:val="00AF5894"/>
    <w:rsid w:val="00AF6559"/>
    <w:rsid w:val="00AF6621"/>
    <w:rsid w:val="00AF6840"/>
    <w:rsid w:val="00B003B0"/>
    <w:rsid w:val="00B01F7E"/>
    <w:rsid w:val="00B044A1"/>
    <w:rsid w:val="00B04A42"/>
    <w:rsid w:val="00B10243"/>
    <w:rsid w:val="00B11A0B"/>
    <w:rsid w:val="00B1223F"/>
    <w:rsid w:val="00B1234E"/>
    <w:rsid w:val="00B127E2"/>
    <w:rsid w:val="00B14537"/>
    <w:rsid w:val="00B1685D"/>
    <w:rsid w:val="00B2223A"/>
    <w:rsid w:val="00B26065"/>
    <w:rsid w:val="00B2799A"/>
    <w:rsid w:val="00B30EFF"/>
    <w:rsid w:val="00B32B7F"/>
    <w:rsid w:val="00B34882"/>
    <w:rsid w:val="00B3503F"/>
    <w:rsid w:val="00B355BF"/>
    <w:rsid w:val="00B36624"/>
    <w:rsid w:val="00B36A89"/>
    <w:rsid w:val="00B40E0C"/>
    <w:rsid w:val="00B4368A"/>
    <w:rsid w:val="00B4617A"/>
    <w:rsid w:val="00B47AFE"/>
    <w:rsid w:val="00B506D6"/>
    <w:rsid w:val="00B52422"/>
    <w:rsid w:val="00B529B2"/>
    <w:rsid w:val="00B53729"/>
    <w:rsid w:val="00B53C63"/>
    <w:rsid w:val="00B5421D"/>
    <w:rsid w:val="00B54A31"/>
    <w:rsid w:val="00B5759A"/>
    <w:rsid w:val="00B57B37"/>
    <w:rsid w:val="00B63302"/>
    <w:rsid w:val="00B65640"/>
    <w:rsid w:val="00B663BF"/>
    <w:rsid w:val="00B663FF"/>
    <w:rsid w:val="00B66C59"/>
    <w:rsid w:val="00B67860"/>
    <w:rsid w:val="00B67E51"/>
    <w:rsid w:val="00B70637"/>
    <w:rsid w:val="00B71403"/>
    <w:rsid w:val="00B72D36"/>
    <w:rsid w:val="00B73DD3"/>
    <w:rsid w:val="00B74313"/>
    <w:rsid w:val="00B748AE"/>
    <w:rsid w:val="00B74F7B"/>
    <w:rsid w:val="00B754ED"/>
    <w:rsid w:val="00B75AD7"/>
    <w:rsid w:val="00B7680A"/>
    <w:rsid w:val="00B81A79"/>
    <w:rsid w:val="00B821B0"/>
    <w:rsid w:val="00B83333"/>
    <w:rsid w:val="00B94625"/>
    <w:rsid w:val="00B96538"/>
    <w:rsid w:val="00B97BB5"/>
    <w:rsid w:val="00BA255B"/>
    <w:rsid w:val="00BA2FAE"/>
    <w:rsid w:val="00BA72A6"/>
    <w:rsid w:val="00BB14CC"/>
    <w:rsid w:val="00BB33B4"/>
    <w:rsid w:val="00BB4FF4"/>
    <w:rsid w:val="00BB5460"/>
    <w:rsid w:val="00BB5E02"/>
    <w:rsid w:val="00BB5FEF"/>
    <w:rsid w:val="00BB65F9"/>
    <w:rsid w:val="00BC01AA"/>
    <w:rsid w:val="00BC312C"/>
    <w:rsid w:val="00BC7C86"/>
    <w:rsid w:val="00BD0D9F"/>
    <w:rsid w:val="00BD243F"/>
    <w:rsid w:val="00BD59CE"/>
    <w:rsid w:val="00BD5C23"/>
    <w:rsid w:val="00BD5EE5"/>
    <w:rsid w:val="00BD74D3"/>
    <w:rsid w:val="00BD7CE9"/>
    <w:rsid w:val="00BE02A8"/>
    <w:rsid w:val="00BE1E17"/>
    <w:rsid w:val="00BE2BCA"/>
    <w:rsid w:val="00BE5675"/>
    <w:rsid w:val="00BE5DB6"/>
    <w:rsid w:val="00BF094E"/>
    <w:rsid w:val="00BF1707"/>
    <w:rsid w:val="00BF1D3F"/>
    <w:rsid w:val="00BF2F1F"/>
    <w:rsid w:val="00BF51E8"/>
    <w:rsid w:val="00BF776A"/>
    <w:rsid w:val="00C014D2"/>
    <w:rsid w:val="00C03CAE"/>
    <w:rsid w:val="00C04E30"/>
    <w:rsid w:val="00C051C7"/>
    <w:rsid w:val="00C06390"/>
    <w:rsid w:val="00C06648"/>
    <w:rsid w:val="00C11CAE"/>
    <w:rsid w:val="00C141D6"/>
    <w:rsid w:val="00C145E9"/>
    <w:rsid w:val="00C16BEE"/>
    <w:rsid w:val="00C209E5"/>
    <w:rsid w:val="00C21676"/>
    <w:rsid w:val="00C2178A"/>
    <w:rsid w:val="00C225AF"/>
    <w:rsid w:val="00C27981"/>
    <w:rsid w:val="00C34C96"/>
    <w:rsid w:val="00C352E3"/>
    <w:rsid w:val="00C35CF7"/>
    <w:rsid w:val="00C36BBA"/>
    <w:rsid w:val="00C40133"/>
    <w:rsid w:val="00C41454"/>
    <w:rsid w:val="00C4158C"/>
    <w:rsid w:val="00C41C74"/>
    <w:rsid w:val="00C42919"/>
    <w:rsid w:val="00C43E22"/>
    <w:rsid w:val="00C45A07"/>
    <w:rsid w:val="00C4737A"/>
    <w:rsid w:val="00C52EDA"/>
    <w:rsid w:val="00C537FE"/>
    <w:rsid w:val="00C545D9"/>
    <w:rsid w:val="00C545F9"/>
    <w:rsid w:val="00C54ABA"/>
    <w:rsid w:val="00C55AE7"/>
    <w:rsid w:val="00C56136"/>
    <w:rsid w:val="00C561F0"/>
    <w:rsid w:val="00C60068"/>
    <w:rsid w:val="00C655D4"/>
    <w:rsid w:val="00C66334"/>
    <w:rsid w:val="00C670BF"/>
    <w:rsid w:val="00C670DF"/>
    <w:rsid w:val="00C70410"/>
    <w:rsid w:val="00C72000"/>
    <w:rsid w:val="00C7206C"/>
    <w:rsid w:val="00C72767"/>
    <w:rsid w:val="00C73DC5"/>
    <w:rsid w:val="00C74292"/>
    <w:rsid w:val="00C801F2"/>
    <w:rsid w:val="00C807BC"/>
    <w:rsid w:val="00C80CA1"/>
    <w:rsid w:val="00C81583"/>
    <w:rsid w:val="00C818D8"/>
    <w:rsid w:val="00C81C74"/>
    <w:rsid w:val="00C824AD"/>
    <w:rsid w:val="00C82CBD"/>
    <w:rsid w:val="00C859BA"/>
    <w:rsid w:val="00C86A4A"/>
    <w:rsid w:val="00C9026B"/>
    <w:rsid w:val="00C9044B"/>
    <w:rsid w:val="00C91247"/>
    <w:rsid w:val="00C92034"/>
    <w:rsid w:val="00C94468"/>
    <w:rsid w:val="00C966E5"/>
    <w:rsid w:val="00C96C42"/>
    <w:rsid w:val="00CA06BF"/>
    <w:rsid w:val="00CA0FC2"/>
    <w:rsid w:val="00CA4A2C"/>
    <w:rsid w:val="00CA4CD5"/>
    <w:rsid w:val="00CA4E46"/>
    <w:rsid w:val="00CA5F38"/>
    <w:rsid w:val="00CA6D19"/>
    <w:rsid w:val="00CB56C5"/>
    <w:rsid w:val="00CB5775"/>
    <w:rsid w:val="00CB7E6D"/>
    <w:rsid w:val="00CC24F2"/>
    <w:rsid w:val="00CC46BE"/>
    <w:rsid w:val="00CC4D21"/>
    <w:rsid w:val="00CC550C"/>
    <w:rsid w:val="00CD4500"/>
    <w:rsid w:val="00CD5BC8"/>
    <w:rsid w:val="00CD6288"/>
    <w:rsid w:val="00CE06EC"/>
    <w:rsid w:val="00CE198A"/>
    <w:rsid w:val="00CE369A"/>
    <w:rsid w:val="00CE4738"/>
    <w:rsid w:val="00CF04E4"/>
    <w:rsid w:val="00CF0509"/>
    <w:rsid w:val="00CF06CC"/>
    <w:rsid w:val="00CF0FB0"/>
    <w:rsid w:val="00CF1C82"/>
    <w:rsid w:val="00CF2FFE"/>
    <w:rsid w:val="00CF344F"/>
    <w:rsid w:val="00CF4B36"/>
    <w:rsid w:val="00CF5523"/>
    <w:rsid w:val="00D0202B"/>
    <w:rsid w:val="00D0221F"/>
    <w:rsid w:val="00D026B4"/>
    <w:rsid w:val="00D059AD"/>
    <w:rsid w:val="00D074BB"/>
    <w:rsid w:val="00D1032C"/>
    <w:rsid w:val="00D12EF2"/>
    <w:rsid w:val="00D14DFC"/>
    <w:rsid w:val="00D1613D"/>
    <w:rsid w:val="00D216BC"/>
    <w:rsid w:val="00D22177"/>
    <w:rsid w:val="00D2231E"/>
    <w:rsid w:val="00D230E2"/>
    <w:rsid w:val="00D2336B"/>
    <w:rsid w:val="00D254D3"/>
    <w:rsid w:val="00D2555D"/>
    <w:rsid w:val="00D27D7E"/>
    <w:rsid w:val="00D30002"/>
    <w:rsid w:val="00D32855"/>
    <w:rsid w:val="00D337A3"/>
    <w:rsid w:val="00D35E88"/>
    <w:rsid w:val="00D4050C"/>
    <w:rsid w:val="00D4090C"/>
    <w:rsid w:val="00D42A95"/>
    <w:rsid w:val="00D42B3D"/>
    <w:rsid w:val="00D42D19"/>
    <w:rsid w:val="00D4758D"/>
    <w:rsid w:val="00D50CBB"/>
    <w:rsid w:val="00D51A2D"/>
    <w:rsid w:val="00D52ADB"/>
    <w:rsid w:val="00D52D1F"/>
    <w:rsid w:val="00D556F8"/>
    <w:rsid w:val="00D57BE8"/>
    <w:rsid w:val="00D60E40"/>
    <w:rsid w:val="00D613C6"/>
    <w:rsid w:val="00D616F3"/>
    <w:rsid w:val="00D6286F"/>
    <w:rsid w:val="00D641AB"/>
    <w:rsid w:val="00D66028"/>
    <w:rsid w:val="00D675DA"/>
    <w:rsid w:val="00D71D42"/>
    <w:rsid w:val="00D72399"/>
    <w:rsid w:val="00D7350E"/>
    <w:rsid w:val="00D73D45"/>
    <w:rsid w:val="00D747BF"/>
    <w:rsid w:val="00D75209"/>
    <w:rsid w:val="00D77ACF"/>
    <w:rsid w:val="00D801CA"/>
    <w:rsid w:val="00D82625"/>
    <w:rsid w:val="00D838E9"/>
    <w:rsid w:val="00D843EE"/>
    <w:rsid w:val="00D85974"/>
    <w:rsid w:val="00D912E0"/>
    <w:rsid w:val="00D917E8"/>
    <w:rsid w:val="00D923D2"/>
    <w:rsid w:val="00D9450B"/>
    <w:rsid w:val="00D9707C"/>
    <w:rsid w:val="00DA3633"/>
    <w:rsid w:val="00DA387D"/>
    <w:rsid w:val="00DA4F24"/>
    <w:rsid w:val="00DA64F5"/>
    <w:rsid w:val="00DB19E2"/>
    <w:rsid w:val="00DB3BC2"/>
    <w:rsid w:val="00DB41E1"/>
    <w:rsid w:val="00DB4BDD"/>
    <w:rsid w:val="00DC0385"/>
    <w:rsid w:val="00DC1D9A"/>
    <w:rsid w:val="00DC2D86"/>
    <w:rsid w:val="00DC4101"/>
    <w:rsid w:val="00DD0145"/>
    <w:rsid w:val="00DD01E3"/>
    <w:rsid w:val="00DD747F"/>
    <w:rsid w:val="00DD760F"/>
    <w:rsid w:val="00DE0971"/>
    <w:rsid w:val="00DE0BEB"/>
    <w:rsid w:val="00DE0F90"/>
    <w:rsid w:val="00DE150D"/>
    <w:rsid w:val="00DE17EB"/>
    <w:rsid w:val="00DE50D9"/>
    <w:rsid w:val="00DE7B49"/>
    <w:rsid w:val="00DE7C3B"/>
    <w:rsid w:val="00DF0780"/>
    <w:rsid w:val="00DF3CE1"/>
    <w:rsid w:val="00DF58F4"/>
    <w:rsid w:val="00DF5B2F"/>
    <w:rsid w:val="00E00033"/>
    <w:rsid w:val="00E01138"/>
    <w:rsid w:val="00E03E2F"/>
    <w:rsid w:val="00E04FB0"/>
    <w:rsid w:val="00E074AE"/>
    <w:rsid w:val="00E1028C"/>
    <w:rsid w:val="00E12894"/>
    <w:rsid w:val="00E12D26"/>
    <w:rsid w:val="00E1439C"/>
    <w:rsid w:val="00E1445F"/>
    <w:rsid w:val="00E15B8F"/>
    <w:rsid w:val="00E15EB9"/>
    <w:rsid w:val="00E16D94"/>
    <w:rsid w:val="00E17205"/>
    <w:rsid w:val="00E17D72"/>
    <w:rsid w:val="00E2335D"/>
    <w:rsid w:val="00E26ED2"/>
    <w:rsid w:val="00E31B4C"/>
    <w:rsid w:val="00E3779C"/>
    <w:rsid w:val="00E4047F"/>
    <w:rsid w:val="00E416CC"/>
    <w:rsid w:val="00E4407A"/>
    <w:rsid w:val="00E51810"/>
    <w:rsid w:val="00E56B23"/>
    <w:rsid w:val="00E576E9"/>
    <w:rsid w:val="00E5799A"/>
    <w:rsid w:val="00E6086A"/>
    <w:rsid w:val="00E6184D"/>
    <w:rsid w:val="00E61B1A"/>
    <w:rsid w:val="00E61C9A"/>
    <w:rsid w:val="00E72D3E"/>
    <w:rsid w:val="00E74202"/>
    <w:rsid w:val="00E75466"/>
    <w:rsid w:val="00E75988"/>
    <w:rsid w:val="00E80158"/>
    <w:rsid w:val="00E808BC"/>
    <w:rsid w:val="00E8222A"/>
    <w:rsid w:val="00E82F25"/>
    <w:rsid w:val="00E83BCE"/>
    <w:rsid w:val="00E84A47"/>
    <w:rsid w:val="00E84AB1"/>
    <w:rsid w:val="00E86648"/>
    <w:rsid w:val="00E91A48"/>
    <w:rsid w:val="00E93567"/>
    <w:rsid w:val="00E9431C"/>
    <w:rsid w:val="00E94783"/>
    <w:rsid w:val="00E950E6"/>
    <w:rsid w:val="00E95F0C"/>
    <w:rsid w:val="00E974E4"/>
    <w:rsid w:val="00EA0DBD"/>
    <w:rsid w:val="00EA1490"/>
    <w:rsid w:val="00EA2F5F"/>
    <w:rsid w:val="00EA3268"/>
    <w:rsid w:val="00EA3500"/>
    <w:rsid w:val="00EA369F"/>
    <w:rsid w:val="00EA64C8"/>
    <w:rsid w:val="00EA7A03"/>
    <w:rsid w:val="00EB13F6"/>
    <w:rsid w:val="00EB22DA"/>
    <w:rsid w:val="00EB3398"/>
    <w:rsid w:val="00EB3DF9"/>
    <w:rsid w:val="00EB4203"/>
    <w:rsid w:val="00EB4613"/>
    <w:rsid w:val="00EB464E"/>
    <w:rsid w:val="00EB5E2E"/>
    <w:rsid w:val="00EB5F4E"/>
    <w:rsid w:val="00EC0019"/>
    <w:rsid w:val="00EC2B16"/>
    <w:rsid w:val="00EC312B"/>
    <w:rsid w:val="00EC369D"/>
    <w:rsid w:val="00EC6463"/>
    <w:rsid w:val="00EC7FA8"/>
    <w:rsid w:val="00ED130E"/>
    <w:rsid w:val="00ED2598"/>
    <w:rsid w:val="00ED5832"/>
    <w:rsid w:val="00ED67F7"/>
    <w:rsid w:val="00ED7990"/>
    <w:rsid w:val="00ED79F7"/>
    <w:rsid w:val="00EE0267"/>
    <w:rsid w:val="00EE083B"/>
    <w:rsid w:val="00EE0BDE"/>
    <w:rsid w:val="00EE155C"/>
    <w:rsid w:val="00EE16BD"/>
    <w:rsid w:val="00EE1B4F"/>
    <w:rsid w:val="00EE720C"/>
    <w:rsid w:val="00EF1C11"/>
    <w:rsid w:val="00EF1E8A"/>
    <w:rsid w:val="00EF79FC"/>
    <w:rsid w:val="00F0025F"/>
    <w:rsid w:val="00F00B17"/>
    <w:rsid w:val="00F01B06"/>
    <w:rsid w:val="00F03FE4"/>
    <w:rsid w:val="00F068D1"/>
    <w:rsid w:val="00F07FA4"/>
    <w:rsid w:val="00F1149D"/>
    <w:rsid w:val="00F11DD3"/>
    <w:rsid w:val="00F12D99"/>
    <w:rsid w:val="00F17DF4"/>
    <w:rsid w:val="00F206F1"/>
    <w:rsid w:val="00F24B46"/>
    <w:rsid w:val="00F24F84"/>
    <w:rsid w:val="00F271EF"/>
    <w:rsid w:val="00F273A0"/>
    <w:rsid w:val="00F3193F"/>
    <w:rsid w:val="00F343D4"/>
    <w:rsid w:val="00F34A2A"/>
    <w:rsid w:val="00F372A1"/>
    <w:rsid w:val="00F41DBA"/>
    <w:rsid w:val="00F420B4"/>
    <w:rsid w:val="00F435C9"/>
    <w:rsid w:val="00F442FA"/>
    <w:rsid w:val="00F44884"/>
    <w:rsid w:val="00F44A7E"/>
    <w:rsid w:val="00F46816"/>
    <w:rsid w:val="00F46F14"/>
    <w:rsid w:val="00F47B99"/>
    <w:rsid w:val="00F513B9"/>
    <w:rsid w:val="00F5190C"/>
    <w:rsid w:val="00F529DE"/>
    <w:rsid w:val="00F537CD"/>
    <w:rsid w:val="00F543BB"/>
    <w:rsid w:val="00F54865"/>
    <w:rsid w:val="00F54952"/>
    <w:rsid w:val="00F55927"/>
    <w:rsid w:val="00F55E3C"/>
    <w:rsid w:val="00F56FA5"/>
    <w:rsid w:val="00F57015"/>
    <w:rsid w:val="00F62AA2"/>
    <w:rsid w:val="00F637E3"/>
    <w:rsid w:val="00F63E14"/>
    <w:rsid w:val="00F6591E"/>
    <w:rsid w:val="00F65F22"/>
    <w:rsid w:val="00F662E7"/>
    <w:rsid w:val="00F70385"/>
    <w:rsid w:val="00F719ED"/>
    <w:rsid w:val="00F7219A"/>
    <w:rsid w:val="00F7561F"/>
    <w:rsid w:val="00F774D2"/>
    <w:rsid w:val="00F81B63"/>
    <w:rsid w:val="00F8477E"/>
    <w:rsid w:val="00F851BC"/>
    <w:rsid w:val="00F851C5"/>
    <w:rsid w:val="00F85627"/>
    <w:rsid w:val="00F85AE4"/>
    <w:rsid w:val="00F85DB6"/>
    <w:rsid w:val="00F86423"/>
    <w:rsid w:val="00F91D44"/>
    <w:rsid w:val="00F922E3"/>
    <w:rsid w:val="00F925BB"/>
    <w:rsid w:val="00F92DFD"/>
    <w:rsid w:val="00F93F46"/>
    <w:rsid w:val="00F94B29"/>
    <w:rsid w:val="00FA2226"/>
    <w:rsid w:val="00FA281C"/>
    <w:rsid w:val="00FA3DF3"/>
    <w:rsid w:val="00FA51C1"/>
    <w:rsid w:val="00FA7C35"/>
    <w:rsid w:val="00FA7C41"/>
    <w:rsid w:val="00FB1CCF"/>
    <w:rsid w:val="00FB2020"/>
    <w:rsid w:val="00FC38C7"/>
    <w:rsid w:val="00FC3EB6"/>
    <w:rsid w:val="00FC44AE"/>
    <w:rsid w:val="00FC6DDB"/>
    <w:rsid w:val="00FD0F65"/>
    <w:rsid w:val="00FD2078"/>
    <w:rsid w:val="00FD51CF"/>
    <w:rsid w:val="00FD68B5"/>
    <w:rsid w:val="00FE13DD"/>
    <w:rsid w:val="00FE200B"/>
    <w:rsid w:val="00FE33AE"/>
    <w:rsid w:val="00FE3873"/>
    <w:rsid w:val="00FE3FA5"/>
    <w:rsid w:val="00FE52E5"/>
    <w:rsid w:val="00FE5A4E"/>
    <w:rsid w:val="00FF02EC"/>
    <w:rsid w:val="00FF18AD"/>
    <w:rsid w:val="00FF1F63"/>
    <w:rsid w:val="00FF511F"/>
    <w:rsid w:val="00FF5D6B"/>
    <w:rsid w:val="00FF6D8B"/>
    <w:rsid w:val="00FF7F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78854"/>
  <w15:chartTrackingRefBased/>
  <w15:docId w15:val="{A58F2B46-B764-427D-8488-14782839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B78"/>
    <w:pPr>
      <w:spacing w:after="0" w:line="240" w:lineRule="auto"/>
    </w:pPr>
    <w:rPr>
      <w:rFonts w:ascii="Times New Roman" w:eastAsia="Times New Roman" w:hAnsi="Times New Roman" w:cs="Times New Roman"/>
      <w:sz w:val="24"/>
      <w:szCs w:val="24"/>
      <w:lang w:eastAsia="es-CO"/>
    </w:rPr>
  </w:style>
  <w:style w:type="paragraph" w:styleId="Ttulo1">
    <w:name w:val="heading 1"/>
    <w:basedOn w:val="Normal"/>
    <w:next w:val="Normal"/>
    <w:link w:val="Ttulo1Car"/>
    <w:uiPriority w:val="9"/>
    <w:qFormat/>
    <w:rsid w:val="002F4A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F4A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926FA"/>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unhideWhenUsed/>
    <w:qFormat/>
    <w:rsid w:val="001926F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5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6concolores-nfasis6">
    <w:name w:val="Grid Table 6 Colorful Accent 6"/>
    <w:basedOn w:val="Tablanormal"/>
    <w:uiPriority w:val="51"/>
    <w:rsid w:val="0079389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Encabezado">
    <w:name w:val="header"/>
    <w:basedOn w:val="Normal"/>
    <w:link w:val="EncabezadoCar"/>
    <w:uiPriority w:val="99"/>
    <w:unhideWhenUsed/>
    <w:rsid w:val="003E6B99"/>
    <w:pPr>
      <w:tabs>
        <w:tab w:val="center" w:pos="4419"/>
        <w:tab w:val="right" w:pos="8838"/>
      </w:tabs>
    </w:pPr>
  </w:style>
  <w:style w:type="character" w:customStyle="1" w:styleId="EncabezadoCar">
    <w:name w:val="Encabezado Car"/>
    <w:basedOn w:val="Fuentedeprrafopredeter"/>
    <w:link w:val="Encabezado"/>
    <w:uiPriority w:val="99"/>
    <w:rsid w:val="003E6B99"/>
  </w:style>
  <w:style w:type="paragraph" w:styleId="Piedepgina">
    <w:name w:val="footer"/>
    <w:basedOn w:val="Normal"/>
    <w:link w:val="PiedepginaCar"/>
    <w:uiPriority w:val="99"/>
    <w:unhideWhenUsed/>
    <w:rsid w:val="003E6B99"/>
    <w:pPr>
      <w:tabs>
        <w:tab w:val="center" w:pos="4419"/>
        <w:tab w:val="right" w:pos="8838"/>
      </w:tabs>
    </w:pPr>
  </w:style>
  <w:style w:type="character" w:customStyle="1" w:styleId="PiedepginaCar">
    <w:name w:val="Pie de página Car"/>
    <w:basedOn w:val="Fuentedeprrafopredeter"/>
    <w:link w:val="Piedepgina"/>
    <w:uiPriority w:val="99"/>
    <w:rsid w:val="003E6B99"/>
  </w:style>
  <w:style w:type="paragraph" w:styleId="Textodeglobo">
    <w:name w:val="Balloon Text"/>
    <w:basedOn w:val="Normal"/>
    <w:link w:val="TextodegloboCar"/>
    <w:uiPriority w:val="99"/>
    <w:semiHidden/>
    <w:unhideWhenUsed/>
    <w:rsid w:val="00216A1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6A15"/>
    <w:rPr>
      <w:rFonts w:ascii="Segoe UI" w:hAnsi="Segoe UI" w:cs="Segoe UI"/>
      <w:sz w:val="18"/>
      <w:szCs w:val="18"/>
    </w:rPr>
  </w:style>
  <w:style w:type="paragraph" w:styleId="Sinespaciado">
    <w:name w:val="No Spacing"/>
    <w:link w:val="SinespaciadoCar"/>
    <w:uiPriority w:val="1"/>
    <w:qFormat/>
    <w:rsid w:val="000B668A"/>
    <w:pPr>
      <w:spacing w:after="0" w:line="240" w:lineRule="auto"/>
    </w:pPr>
    <w:rPr>
      <w:rFonts w:ascii="Times New Roman" w:hAnsi="Times New Roman"/>
      <w:sz w:val="24"/>
    </w:rPr>
  </w:style>
  <w:style w:type="character" w:customStyle="1" w:styleId="SinespaciadoCar">
    <w:name w:val="Sin espaciado Car"/>
    <w:link w:val="Sinespaciado"/>
    <w:uiPriority w:val="1"/>
    <w:rsid w:val="000B668A"/>
    <w:rPr>
      <w:rFonts w:ascii="Times New Roman" w:hAnsi="Times New Roman"/>
      <w:sz w:val="24"/>
    </w:rPr>
  </w:style>
  <w:style w:type="table" w:styleId="Cuadrculadetablaclara">
    <w:name w:val="Grid Table Light"/>
    <w:basedOn w:val="Tablanormal"/>
    <w:uiPriority w:val="40"/>
    <w:rsid w:val="00CF05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OAI">
    <w:name w:val="tabla OAI"/>
    <w:basedOn w:val="Tablaelegante"/>
    <w:uiPriority w:val="99"/>
    <w:rsid w:val="0069183B"/>
    <w:pPr>
      <w:spacing w:after="0" w:line="240" w:lineRule="auto"/>
      <w:jc w:val="center"/>
    </w:pPr>
    <w:rPr>
      <w:rFonts w:ascii="Times New Roman" w:hAnsi="Times New Roman"/>
      <w:sz w:val="24"/>
      <w:szCs w:val="20"/>
      <w:lang w:eastAsia="es-CO"/>
    </w:rPr>
    <w:tblPr>
      <w:tblBorders>
        <w:top w:val="double" w:sz="2" w:space="0" w:color="538135" w:themeColor="accent6" w:themeShade="BF"/>
        <w:left w:val="double" w:sz="2" w:space="0" w:color="538135" w:themeColor="accent6" w:themeShade="BF"/>
        <w:bottom w:val="double" w:sz="2" w:space="0" w:color="538135" w:themeColor="accent6" w:themeShade="BF"/>
        <w:right w:val="double" w:sz="2" w:space="0" w:color="538135" w:themeColor="accent6" w:themeShade="BF"/>
        <w:insideH w:val="double" w:sz="2" w:space="0" w:color="538135" w:themeColor="accent6" w:themeShade="BF"/>
        <w:insideV w:val="double" w:sz="2" w:space="0" w:color="538135" w:themeColor="accent6" w:themeShade="BF"/>
      </w:tblBorders>
    </w:tblPr>
    <w:tcPr>
      <w:shd w:val="clear" w:color="auto" w:fill="auto"/>
      <w:vAlign w:val="center"/>
    </w:tcPr>
    <w:tblStylePr w:type="firstRow">
      <w:pPr>
        <w:jc w:val="center"/>
      </w:pPr>
      <w:rPr>
        <w:caps/>
        <w:color w:val="auto"/>
      </w:rPr>
      <w:tblPr/>
      <w:tcPr>
        <w:tcBorders>
          <w:tl2br w:val="none" w:sz="0" w:space="0" w:color="auto"/>
          <w:tr2bl w:val="none" w:sz="0" w:space="0" w:color="auto"/>
        </w:tcBorders>
        <w:shd w:val="clear" w:color="auto" w:fill="E2EFD9" w:themeFill="accent6" w:themeFillTint="33"/>
        <w:vAlign w:val="center"/>
      </w:tcPr>
    </w:tblStylePr>
    <w:tblStylePr w:type="firstCol">
      <w:pPr>
        <w:jc w:val="left"/>
      </w:pPr>
    </w:tblStylePr>
  </w:style>
  <w:style w:type="table" w:styleId="Tablaelegante">
    <w:name w:val="Table Elegant"/>
    <w:basedOn w:val="Tablanormal"/>
    <w:uiPriority w:val="99"/>
    <w:semiHidden/>
    <w:unhideWhenUsed/>
    <w:rsid w:val="00CF050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Prrafodelista">
    <w:name w:val="List Paragraph"/>
    <w:basedOn w:val="Normal"/>
    <w:uiPriority w:val="34"/>
    <w:qFormat/>
    <w:rsid w:val="00644255"/>
    <w:pPr>
      <w:ind w:left="720"/>
      <w:contextualSpacing/>
    </w:pPr>
  </w:style>
  <w:style w:type="table" w:styleId="Tabladecuadrcula3-nfasis6">
    <w:name w:val="Grid Table 3 Accent 6"/>
    <w:basedOn w:val="Tablanormal"/>
    <w:uiPriority w:val="48"/>
    <w:rsid w:val="00AA50F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normal4">
    <w:name w:val="Plain Table 4"/>
    <w:basedOn w:val="Tablanormal"/>
    <w:uiPriority w:val="44"/>
    <w:rsid w:val="002C21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7concolores-nfasis6">
    <w:name w:val="Grid Table 7 Colorful Accent 6"/>
    <w:basedOn w:val="Tablanormal"/>
    <w:uiPriority w:val="52"/>
    <w:rsid w:val="002C21C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Refdecomentario">
    <w:name w:val="annotation reference"/>
    <w:basedOn w:val="Fuentedeprrafopredeter"/>
    <w:uiPriority w:val="99"/>
    <w:semiHidden/>
    <w:unhideWhenUsed/>
    <w:rsid w:val="00B65640"/>
    <w:rPr>
      <w:sz w:val="16"/>
      <w:szCs w:val="16"/>
    </w:rPr>
  </w:style>
  <w:style w:type="paragraph" w:styleId="Textocomentario">
    <w:name w:val="annotation text"/>
    <w:basedOn w:val="Normal"/>
    <w:link w:val="TextocomentarioCar"/>
    <w:uiPriority w:val="99"/>
    <w:semiHidden/>
    <w:unhideWhenUsed/>
    <w:rsid w:val="00B65640"/>
    <w:rPr>
      <w:sz w:val="20"/>
      <w:szCs w:val="20"/>
    </w:rPr>
  </w:style>
  <w:style w:type="character" w:customStyle="1" w:styleId="TextocomentarioCar">
    <w:name w:val="Texto comentario Car"/>
    <w:basedOn w:val="Fuentedeprrafopredeter"/>
    <w:link w:val="Textocomentario"/>
    <w:uiPriority w:val="99"/>
    <w:semiHidden/>
    <w:rsid w:val="00B65640"/>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B65640"/>
    <w:rPr>
      <w:b/>
      <w:bCs/>
    </w:rPr>
  </w:style>
  <w:style w:type="character" w:customStyle="1" w:styleId="AsuntodelcomentarioCar">
    <w:name w:val="Asunto del comentario Car"/>
    <w:basedOn w:val="TextocomentarioCar"/>
    <w:link w:val="Asuntodelcomentario"/>
    <w:uiPriority w:val="99"/>
    <w:semiHidden/>
    <w:rsid w:val="00B65640"/>
    <w:rPr>
      <w:rFonts w:ascii="Times New Roman" w:hAnsi="Times New Roman"/>
      <w:b/>
      <w:bCs/>
      <w:sz w:val="20"/>
      <w:szCs w:val="20"/>
    </w:rPr>
  </w:style>
  <w:style w:type="table" w:styleId="Tabladelista1clara-nfasis6">
    <w:name w:val="List Table 1 Light Accent 6"/>
    <w:basedOn w:val="Tablanormal"/>
    <w:uiPriority w:val="46"/>
    <w:rsid w:val="006B779E"/>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2-nfasis6">
    <w:name w:val="Grid Table 2 Accent 6"/>
    <w:basedOn w:val="Tablanormal"/>
    <w:uiPriority w:val="47"/>
    <w:rsid w:val="00BB33B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1Car">
    <w:name w:val="Título 1 Car"/>
    <w:basedOn w:val="Fuentedeprrafopredeter"/>
    <w:link w:val="Ttulo1"/>
    <w:uiPriority w:val="9"/>
    <w:rsid w:val="002F4A7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2F4A7A"/>
    <w:rPr>
      <w:rFonts w:asciiTheme="majorHAnsi" w:eastAsiaTheme="majorEastAsia" w:hAnsiTheme="majorHAnsi" w:cstheme="majorBidi"/>
      <w:color w:val="2E74B5" w:themeColor="accent1" w:themeShade="BF"/>
      <w:sz w:val="26"/>
      <w:szCs w:val="26"/>
    </w:rPr>
  </w:style>
  <w:style w:type="paragraph" w:customStyle="1" w:styleId="Default">
    <w:name w:val="Default"/>
    <w:rsid w:val="002F4A7A"/>
    <w:pPr>
      <w:autoSpaceDE w:val="0"/>
      <w:autoSpaceDN w:val="0"/>
      <w:adjustRightInd w:val="0"/>
      <w:spacing w:after="0" w:line="240" w:lineRule="auto"/>
    </w:pPr>
    <w:rPr>
      <w:rFonts w:ascii="Arial Narrow" w:hAnsi="Arial Narrow" w:cs="Arial Narrow"/>
      <w:color w:val="000000"/>
      <w:sz w:val="24"/>
      <w:szCs w:val="24"/>
    </w:rPr>
  </w:style>
  <w:style w:type="paragraph" w:styleId="TtuloTDC">
    <w:name w:val="TOC Heading"/>
    <w:basedOn w:val="Ttulo1"/>
    <w:next w:val="Normal"/>
    <w:uiPriority w:val="39"/>
    <w:unhideWhenUsed/>
    <w:qFormat/>
    <w:rsid w:val="00832D30"/>
    <w:pPr>
      <w:spacing w:line="259" w:lineRule="auto"/>
      <w:outlineLvl w:val="9"/>
    </w:pPr>
  </w:style>
  <w:style w:type="paragraph" w:styleId="TDC1">
    <w:name w:val="toc 1"/>
    <w:basedOn w:val="Normal"/>
    <w:next w:val="Normal"/>
    <w:autoRedefine/>
    <w:uiPriority w:val="39"/>
    <w:unhideWhenUsed/>
    <w:rsid w:val="00460E0E"/>
    <w:pPr>
      <w:tabs>
        <w:tab w:val="left" w:pos="480"/>
        <w:tab w:val="right" w:leader="dot" w:pos="8921"/>
      </w:tabs>
      <w:spacing w:after="100"/>
    </w:pPr>
  </w:style>
  <w:style w:type="paragraph" w:styleId="TDC2">
    <w:name w:val="toc 2"/>
    <w:basedOn w:val="Normal"/>
    <w:next w:val="Normal"/>
    <w:autoRedefine/>
    <w:uiPriority w:val="39"/>
    <w:unhideWhenUsed/>
    <w:rsid w:val="00832D30"/>
    <w:pPr>
      <w:spacing w:after="100"/>
      <w:ind w:left="240"/>
    </w:pPr>
  </w:style>
  <w:style w:type="character" w:styleId="Hipervnculo">
    <w:name w:val="Hyperlink"/>
    <w:basedOn w:val="Fuentedeprrafopredeter"/>
    <w:uiPriority w:val="99"/>
    <w:unhideWhenUsed/>
    <w:rsid w:val="00832D30"/>
    <w:rPr>
      <w:color w:val="0563C1" w:themeColor="hyperlink"/>
      <w:u w:val="single"/>
    </w:rPr>
  </w:style>
  <w:style w:type="character" w:customStyle="1" w:styleId="Ttulo3Car">
    <w:name w:val="Título 3 Car"/>
    <w:basedOn w:val="Fuentedeprrafopredeter"/>
    <w:link w:val="Ttulo3"/>
    <w:uiPriority w:val="9"/>
    <w:rsid w:val="001926FA"/>
    <w:rPr>
      <w:rFonts w:asciiTheme="majorHAnsi" w:eastAsiaTheme="majorEastAsia" w:hAnsiTheme="majorHAnsi" w:cstheme="majorBidi"/>
      <w:color w:val="1F4D78" w:themeColor="accent1" w:themeShade="7F"/>
      <w:sz w:val="24"/>
      <w:szCs w:val="24"/>
      <w:lang w:eastAsia="es-CO"/>
    </w:rPr>
  </w:style>
  <w:style w:type="character" w:customStyle="1" w:styleId="Ttulo4Car">
    <w:name w:val="Título 4 Car"/>
    <w:basedOn w:val="Fuentedeprrafopredeter"/>
    <w:link w:val="Ttulo4"/>
    <w:uiPriority w:val="9"/>
    <w:rsid w:val="001926FA"/>
    <w:rPr>
      <w:rFonts w:asciiTheme="majorHAnsi" w:eastAsiaTheme="majorEastAsia" w:hAnsiTheme="majorHAnsi" w:cstheme="majorBidi"/>
      <w:i/>
      <w:iCs/>
      <w:color w:val="2E74B5" w:themeColor="accent1" w:themeShade="BF"/>
      <w:sz w:val="24"/>
      <w:szCs w:val="24"/>
      <w:lang w:eastAsia="es-CO"/>
    </w:rPr>
  </w:style>
  <w:style w:type="paragraph" w:styleId="TDC3">
    <w:name w:val="toc 3"/>
    <w:basedOn w:val="Normal"/>
    <w:next w:val="Normal"/>
    <w:autoRedefine/>
    <w:uiPriority w:val="39"/>
    <w:unhideWhenUsed/>
    <w:rsid w:val="00DB4BDD"/>
    <w:pPr>
      <w:tabs>
        <w:tab w:val="left" w:pos="1320"/>
        <w:tab w:val="right" w:leader="dot" w:pos="8921"/>
      </w:tabs>
      <w:spacing w:after="100"/>
      <w:ind w:left="480"/>
    </w:pPr>
  </w:style>
  <w:style w:type="paragraph" w:styleId="Ttulo">
    <w:name w:val="Title"/>
    <w:basedOn w:val="Normal"/>
    <w:next w:val="Normal"/>
    <w:link w:val="TtuloCar"/>
    <w:uiPriority w:val="10"/>
    <w:qFormat/>
    <w:rsid w:val="001926F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926FA"/>
    <w:rPr>
      <w:rFonts w:asciiTheme="majorHAnsi" w:eastAsiaTheme="majorEastAsia" w:hAnsiTheme="majorHAnsi" w:cstheme="majorBidi"/>
      <w:spacing w:val="-10"/>
      <w:kern w:val="28"/>
      <w:sz w:val="56"/>
      <w:szCs w:val="56"/>
      <w:lang w:eastAsia="es-CO"/>
    </w:rPr>
  </w:style>
  <w:style w:type="paragraph" w:styleId="Revisin">
    <w:name w:val="Revision"/>
    <w:hidden/>
    <w:uiPriority w:val="99"/>
    <w:semiHidden/>
    <w:rsid w:val="00DE0BEB"/>
    <w:pPr>
      <w:spacing w:after="0"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318">
      <w:bodyDiv w:val="1"/>
      <w:marLeft w:val="0"/>
      <w:marRight w:val="0"/>
      <w:marTop w:val="0"/>
      <w:marBottom w:val="0"/>
      <w:divBdr>
        <w:top w:val="none" w:sz="0" w:space="0" w:color="auto"/>
        <w:left w:val="none" w:sz="0" w:space="0" w:color="auto"/>
        <w:bottom w:val="none" w:sz="0" w:space="0" w:color="auto"/>
        <w:right w:val="none" w:sz="0" w:space="0" w:color="auto"/>
      </w:divBdr>
    </w:div>
    <w:div w:id="27923419">
      <w:bodyDiv w:val="1"/>
      <w:marLeft w:val="0"/>
      <w:marRight w:val="0"/>
      <w:marTop w:val="0"/>
      <w:marBottom w:val="0"/>
      <w:divBdr>
        <w:top w:val="none" w:sz="0" w:space="0" w:color="auto"/>
        <w:left w:val="none" w:sz="0" w:space="0" w:color="auto"/>
        <w:bottom w:val="none" w:sz="0" w:space="0" w:color="auto"/>
        <w:right w:val="none" w:sz="0" w:space="0" w:color="auto"/>
      </w:divBdr>
    </w:div>
    <w:div w:id="39257179">
      <w:bodyDiv w:val="1"/>
      <w:marLeft w:val="0"/>
      <w:marRight w:val="0"/>
      <w:marTop w:val="0"/>
      <w:marBottom w:val="0"/>
      <w:divBdr>
        <w:top w:val="none" w:sz="0" w:space="0" w:color="auto"/>
        <w:left w:val="none" w:sz="0" w:space="0" w:color="auto"/>
        <w:bottom w:val="none" w:sz="0" w:space="0" w:color="auto"/>
        <w:right w:val="none" w:sz="0" w:space="0" w:color="auto"/>
      </w:divBdr>
    </w:div>
    <w:div w:id="44646336">
      <w:bodyDiv w:val="1"/>
      <w:marLeft w:val="0"/>
      <w:marRight w:val="0"/>
      <w:marTop w:val="0"/>
      <w:marBottom w:val="0"/>
      <w:divBdr>
        <w:top w:val="none" w:sz="0" w:space="0" w:color="auto"/>
        <w:left w:val="none" w:sz="0" w:space="0" w:color="auto"/>
        <w:bottom w:val="none" w:sz="0" w:space="0" w:color="auto"/>
        <w:right w:val="none" w:sz="0" w:space="0" w:color="auto"/>
      </w:divBdr>
    </w:div>
    <w:div w:id="79109349">
      <w:bodyDiv w:val="1"/>
      <w:marLeft w:val="0"/>
      <w:marRight w:val="0"/>
      <w:marTop w:val="0"/>
      <w:marBottom w:val="0"/>
      <w:divBdr>
        <w:top w:val="none" w:sz="0" w:space="0" w:color="auto"/>
        <w:left w:val="none" w:sz="0" w:space="0" w:color="auto"/>
        <w:bottom w:val="none" w:sz="0" w:space="0" w:color="auto"/>
        <w:right w:val="none" w:sz="0" w:space="0" w:color="auto"/>
      </w:divBdr>
    </w:div>
    <w:div w:id="134030198">
      <w:bodyDiv w:val="1"/>
      <w:marLeft w:val="0"/>
      <w:marRight w:val="0"/>
      <w:marTop w:val="0"/>
      <w:marBottom w:val="0"/>
      <w:divBdr>
        <w:top w:val="none" w:sz="0" w:space="0" w:color="auto"/>
        <w:left w:val="none" w:sz="0" w:space="0" w:color="auto"/>
        <w:bottom w:val="none" w:sz="0" w:space="0" w:color="auto"/>
        <w:right w:val="none" w:sz="0" w:space="0" w:color="auto"/>
      </w:divBdr>
      <w:divsChild>
        <w:div w:id="61493657">
          <w:marLeft w:val="274"/>
          <w:marRight w:val="0"/>
          <w:marTop w:val="0"/>
          <w:marBottom w:val="0"/>
          <w:divBdr>
            <w:top w:val="none" w:sz="0" w:space="0" w:color="auto"/>
            <w:left w:val="none" w:sz="0" w:space="0" w:color="auto"/>
            <w:bottom w:val="none" w:sz="0" w:space="0" w:color="auto"/>
            <w:right w:val="none" w:sz="0" w:space="0" w:color="auto"/>
          </w:divBdr>
        </w:div>
      </w:divsChild>
    </w:div>
    <w:div w:id="161092408">
      <w:bodyDiv w:val="1"/>
      <w:marLeft w:val="0"/>
      <w:marRight w:val="0"/>
      <w:marTop w:val="0"/>
      <w:marBottom w:val="0"/>
      <w:divBdr>
        <w:top w:val="none" w:sz="0" w:space="0" w:color="auto"/>
        <w:left w:val="none" w:sz="0" w:space="0" w:color="auto"/>
        <w:bottom w:val="none" w:sz="0" w:space="0" w:color="auto"/>
        <w:right w:val="none" w:sz="0" w:space="0" w:color="auto"/>
      </w:divBdr>
    </w:div>
    <w:div w:id="168063789">
      <w:bodyDiv w:val="1"/>
      <w:marLeft w:val="0"/>
      <w:marRight w:val="0"/>
      <w:marTop w:val="0"/>
      <w:marBottom w:val="0"/>
      <w:divBdr>
        <w:top w:val="none" w:sz="0" w:space="0" w:color="auto"/>
        <w:left w:val="none" w:sz="0" w:space="0" w:color="auto"/>
        <w:bottom w:val="none" w:sz="0" w:space="0" w:color="auto"/>
        <w:right w:val="none" w:sz="0" w:space="0" w:color="auto"/>
      </w:divBdr>
    </w:div>
    <w:div w:id="200678103">
      <w:bodyDiv w:val="1"/>
      <w:marLeft w:val="0"/>
      <w:marRight w:val="0"/>
      <w:marTop w:val="0"/>
      <w:marBottom w:val="0"/>
      <w:divBdr>
        <w:top w:val="none" w:sz="0" w:space="0" w:color="auto"/>
        <w:left w:val="none" w:sz="0" w:space="0" w:color="auto"/>
        <w:bottom w:val="none" w:sz="0" w:space="0" w:color="auto"/>
        <w:right w:val="none" w:sz="0" w:space="0" w:color="auto"/>
      </w:divBdr>
    </w:div>
    <w:div w:id="211120062">
      <w:bodyDiv w:val="1"/>
      <w:marLeft w:val="0"/>
      <w:marRight w:val="0"/>
      <w:marTop w:val="0"/>
      <w:marBottom w:val="0"/>
      <w:divBdr>
        <w:top w:val="none" w:sz="0" w:space="0" w:color="auto"/>
        <w:left w:val="none" w:sz="0" w:space="0" w:color="auto"/>
        <w:bottom w:val="none" w:sz="0" w:space="0" w:color="auto"/>
        <w:right w:val="none" w:sz="0" w:space="0" w:color="auto"/>
      </w:divBdr>
    </w:div>
    <w:div w:id="260380418">
      <w:bodyDiv w:val="1"/>
      <w:marLeft w:val="0"/>
      <w:marRight w:val="0"/>
      <w:marTop w:val="0"/>
      <w:marBottom w:val="0"/>
      <w:divBdr>
        <w:top w:val="none" w:sz="0" w:space="0" w:color="auto"/>
        <w:left w:val="none" w:sz="0" w:space="0" w:color="auto"/>
        <w:bottom w:val="none" w:sz="0" w:space="0" w:color="auto"/>
        <w:right w:val="none" w:sz="0" w:space="0" w:color="auto"/>
      </w:divBdr>
    </w:div>
    <w:div w:id="314534884">
      <w:bodyDiv w:val="1"/>
      <w:marLeft w:val="0"/>
      <w:marRight w:val="0"/>
      <w:marTop w:val="0"/>
      <w:marBottom w:val="0"/>
      <w:divBdr>
        <w:top w:val="none" w:sz="0" w:space="0" w:color="auto"/>
        <w:left w:val="none" w:sz="0" w:space="0" w:color="auto"/>
        <w:bottom w:val="none" w:sz="0" w:space="0" w:color="auto"/>
        <w:right w:val="none" w:sz="0" w:space="0" w:color="auto"/>
      </w:divBdr>
    </w:div>
    <w:div w:id="350880697">
      <w:bodyDiv w:val="1"/>
      <w:marLeft w:val="0"/>
      <w:marRight w:val="0"/>
      <w:marTop w:val="0"/>
      <w:marBottom w:val="0"/>
      <w:divBdr>
        <w:top w:val="none" w:sz="0" w:space="0" w:color="auto"/>
        <w:left w:val="none" w:sz="0" w:space="0" w:color="auto"/>
        <w:bottom w:val="none" w:sz="0" w:space="0" w:color="auto"/>
        <w:right w:val="none" w:sz="0" w:space="0" w:color="auto"/>
      </w:divBdr>
    </w:div>
    <w:div w:id="367024866">
      <w:bodyDiv w:val="1"/>
      <w:marLeft w:val="0"/>
      <w:marRight w:val="0"/>
      <w:marTop w:val="0"/>
      <w:marBottom w:val="0"/>
      <w:divBdr>
        <w:top w:val="none" w:sz="0" w:space="0" w:color="auto"/>
        <w:left w:val="none" w:sz="0" w:space="0" w:color="auto"/>
        <w:bottom w:val="none" w:sz="0" w:space="0" w:color="auto"/>
        <w:right w:val="none" w:sz="0" w:space="0" w:color="auto"/>
      </w:divBdr>
    </w:div>
    <w:div w:id="374547928">
      <w:bodyDiv w:val="1"/>
      <w:marLeft w:val="0"/>
      <w:marRight w:val="0"/>
      <w:marTop w:val="0"/>
      <w:marBottom w:val="0"/>
      <w:divBdr>
        <w:top w:val="none" w:sz="0" w:space="0" w:color="auto"/>
        <w:left w:val="none" w:sz="0" w:space="0" w:color="auto"/>
        <w:bottom w:val="none" w:sz="0" w:space="0" w:color="auto"/>
        <w:right w:val="none" w:sz="0" w:space="0" w:color="auto"/>
      </w:divBdr>
    </w:div>
    <w:div w:id="391544775">
      <w:bodyDiv w:val="1"/>
      <w:marLeft w:val="0"/>
      <w:marRight w:val="0"/>
      <w:marTop w:val="0"/>
      <w:marBottom w:val="0"/>
      <w:divBdr>
        <w:top w:val="none" w:sz="0" w:space="0" w:color="auto"/>
        <w:left w:val="none" w:sz="0" w:space="0" w:color="auto"/>
        <w:bottom w:val="none" w:sz="0" w:space="0" w:color="auto"/>
        <w:right w:val="none" w:sz="0" w:space="0" w:color="auto"/>
      </w:divBdr>
    </w:div>
    <w:div w:id="432479796">
      <w:bodyDiv w:val="1"/>
      <w:marLeft w:val="0"/>
      <w:marRight w:val="0"/>
      <w:marTop w:val="0"/>
      <w:marBottom w:val="0"/>
      <w:divBdr>
        <w:top w:val="none" w:sz="0" w:space="0" w:color="auto"/>
        <w:left w:val="none" w:sz="0" w:space="0" w:color="auto"/>
        <w:bottom w:val="none" w:sz="0" w:space="0" w:color="auto"/>
        <w:right w:val="none" w:sz="0" w:space="0" w:color="auto"/>
      </w:divBdr>
    </w:div>
    <w:div w:id="449982682">
      <w:bodyDiv w:val="1"/>
      <w:marLeft w:val="0"/>
      <w:marRight w:val="0"/>
      <w:marTop w:val="0"/>
      <w:marBottom w:val="0"/>
      <w:divBdr>
        <w:top w:val="none" w:sz="0" w:space="0" w:color="auto"/>
        <w:left w:val="none" w:sz="0" w:space="0" w:color="auto"/>
        <w:bottom w:val="none" w:sz="0" w:space="0" w:color="auto"/>
        <w:right w:val="none" w:sz="0" w:space="0" w:color="auto"/>
      </w:divBdr>
    </w:div>
    <w:div w:id="457577355">
      <w:bodyDiv w:val="1"/>
      <w:marLeft w:val="0"/>
      <w:marRight w:val="0"/>
      <w:marTop w:val="0"/>
      <w:marBottom w:val="0"/>
      <w:divBdr>
        <w:top w:val="none" w:sz="0" w:space="0" w:color="auto"/>
        <w:left w:val="none" w:sz="0" w:space="0" w:color="auto"/>
        <w:bottom w:val="none" w:sz="0" w:space="0" w:color="auto"/>
        <w:right w:val="none" w:sz="0" w:space="0" w:color="auto"/>
      </w:divBdr>
    </w:div>
    <w:div w:id="481851958">
      <w:bodyDiv w:val="1"/>
      <w:marLeft w:val="0"/>
      <w:marRight w:val="0"/>
      <w:marTop w:val="0"/>
      <w:marBottom w:val="0"/>
      <w:divBdr>
        <w:top w:val="none" w:sz="0" w:space="0" w:color="auto"/>
        <w:left w:val="none" w:sz="0" w:space="0" w:color="auto"/>
        <w:bottom w:val="none" w:sz="0" w:space="0" w:color="auto"/>
        <w:right w:val="none" w:sz="0" w:space="0" w:color="auto"/>
      </w:divBdr>
    </w:div>
    <w:div w:id="542451074">
      <w:bodyDiv w:val="1"/>
      <w:marLeft w:val="0"/>
      <w:marRight w:val="0"/>
      <w:marTop w:val="0"/>
      <w:marBottom w:val="0"/>
      <w:divBdr>
        <w:top w:val="none" w:sz="0" w:space="0" w:color="auto"/>
        <w:left w:val="none" w:sz="0" w:space="0" w:color="auto"/>
        <w:bottom w:val="none" w:sz="0" w:space="0" w:color="auto"/>
        <w:right w:val="none" w:sz="0" w:space="0" w:color="auto"/>
      </w:divBdr>
    </w:div>
    <w:div w:id="561987325">
      <w:bodyDiv w:val="1"/>
      <w:marLeft w:val="0"/>
      <w:marRight w:val="0"/>
      <w:marTop w:val="0"/>
      <w:marBottom w:val="0"/>
      <w:divBdr>
        <w:top w:val="none" w:sz="0" w:space="0" w:color="auto"/>
        <w:left w:val="none" w:sz="0" w:space="0" w:color="auto"/>
        <w:bottom w:val="none" w:sz="0" w:space="0" w:color="auto"/>
        <w:right w:val="none" w:sz="0" w:space="0" w:color="auto"/>
      </w:divBdr>
    </w:div>
    <w:div w:id="589970045">
      <w:bodyDiv w:val="1"/>
      <w:marLeft w:val="0"/>
      <w:marRight w:val="0"/>
      <w:marTop w:val="0"/>
      <w:marBottom w:val="0"/>
      <w:divBdr>
        <w:top w:val="none" w:sz="0" w:space="0" w:color="auto"/>
        <w:left w:val="none" w:sz="0" w:space="0" w:color="auto"/>
        <w:bottom w:val="none" w:sz="0" w:space="0" w:color="auto"/>
        <w:right w:val="none" w:sz="0" w:space="0" w:color="auto"/>
      </w:divBdr>
    </w:div>
    <w:div w:id="635141391">
      <w:bodyDiv w:val="1"/>
      <w:marLeft w:val="0"/>
      <w:marRight w:val="0"/>
      <w:marTop w:val="0"/>
      <w:marBottom w:val="0"/>
      <w:divBdr>
        <w:top w:val="none" w:sz="0" w:space="0" w:color="auto"/>
        <w:left w:val="none" w:sz="0" w:space="0" w:color="auto"/>
        <w:bottom w:val="none" w:sz="0" w:space="0" w:color="auto"/>
        <w:right w:val="none" w:sz="0" w:space="0" w:color="auto"/>
      </w:divBdr>
    </w:div>
    <w:div w:id="645821207">
      <w:bodyDiv w:val="1"/>
      <w:marLeft w:val="0"/>
      <w:marRight w:val="0"/>
      <w:marTop w:val="0"/>
      <w:marBottom w:val="0"/>
      <w:divBdr>
        <w:top w:val="none" w:sz="0" w:space="0" w:color="auto"/>
        <w:left w:val="none" w:sz="0" w:space="0" w:color="auto"/>
        <w:bottom w:val="none" w:sz="0" w:space="0" w:color="auto"/>
        <w:right w:val="none" w:sz="0" w:space="0" w:color="auto"/>
      </w:divBdr>
    </w:div>
    <w:div w:id="690648896">
      <w:bodyDiv w:val="1"/>
      <w:marLeft w:val="0"/>
      <w:marRight w:val="0"/>
      <w:marTop w:val="0"/>
      <w:marBottom w:val="0"/>
      <w:divBdr>
        <w:top w:val="none" w:sz="0" w:space="0" w:color="auto"/>
        <w:left w:val="none" w:sz="0" w:space="0" w:color="auto"/>
        <w:bottom w:val="none" w:sz="0" w:space="0" w:color="auto"/>
        <w:right w:val="none" w:sz="0" w:space="0" w:color="auto"/>
      </w:divBdr>
    </w:div>
    <w:div w:id="764499095">
      <w:bodyDiv w:val="1"/>
      <w:marLeft w:val="0"/>
      <w:marRight w:val="0"/>
      <w:marTop w:val="0"/>
      <w:marBottom w:val="0"/>
      <w:divBdr>
        <w:top w:val="none" w:sz="0" w:space="0" w:color="auto"/>
        <w:left w:val="none" w:sz="0" w:space="0" w:color="auto"/>
        <w:bottom w:val="none" w:sz="0" w:space="0" w:color="auto"/>
        <w:right w:val="none" w:sz="0" w:space="0" w:color="auto"/>
      </w:divBdr>
    </w:div>
    <w:div w:id="772675773">
      <w:bodyDiv w:val="1"/>
      <w:marLeft w:val="0"/>
      <w:marRight w:val="0"/>
      <w:marTop w:val="0"/>
      <w:marBottom w:val="0"/>
      <w:divBdr>
        <w:top w:val="none" w:sz="0" w:space="0" w:color="auto"/>
        <w:left w:val="none" w:sz="0" w:space="0" w:color="auto"/>
        <w:bottom w:val="none" w:sz="0" w:space="0" w:color="auto"/>
        <w:right w:val="none" w:sz="0" w:space="0" w:color="auto"/>
      </w:divBdr>
    </w:div>
    <w:div w:id="780344098">
      <w:bodyDiv w:val="1"/>
      <w:marLeft w:val="0"/>
      <w:marRight w:val="0"/>
      <w:marTop w:val="0"/>
      <w:marBottom w:val="0"/>
      <w:divBdr>
        <w:top w:val="none" w:sz="0" w:space="0" w:color="auto"/>
        <w:left w:val="none" w:sz="0" w:space="0" w:color="auto"/>
        <w:bottom w:val="none" w:sz="0" w:space="0" w:color="auto"/>
        <w:right w:val="none" w:sz="0" w:space="0" w:color="auto"/>
      </w:divBdr>
    </w:div>
    <w:div w:id="782573120">
      <w:bodyDiv w:val="1"/>
      <w:marLeft w:val="0"/>
      <w:marRight w:val="0"/>
      <w:marTop w:val="0"/>
      <w:marBottom w:val="0"/>
      <w:divBdr>
        <w:top w:val="none" w:sz="0" w:space="0" w:color="auto"/>
        <w:left w:val="none" w:sz="0" w:space="0" w:color="auto"/>
        <w:bottom w:val="none" w:sz="0" w:space="0" w:color="auto"/>
        <w:right w:val="none" w:sz="0" w:space="0" w:color="auto"/>
      </w:divBdr>
    </w:div>
    <w:div w:id="815224411">
      <w:bodyDiv w:val="1"/>
      <w:marLeft w:val="0"/>
      <w:marRight w:val="0"/>
      <w:marTop w:val="0"/>
      <w:marBottom w:val="0"/>
      <w:divBdr>
        <w:top w:val="none" w:sz="0" w:space="0" w:color="auto"/>
        <w:left w:val="none" w:sz="0" w:space="0" w:color="auto"/>
        <w:bottom w:val="none" w:sz="0" w:space="0" w:color="auto"/>
        <w:right w:val="none" w:sz="0" w:space="0" w:color="auto"/>
      </w:divBdr>
    </w:div>
    <w:div w:id="843786186">
      <w:bodyDiv w:val="1"/>
      <w:marLeft w:val="0"/>
      <w:marRight w:val="0"/>
      <w:marTop w:val="0"/>
      <w:marBottom w:val="0"/>
      <w:divBdr>
        <w:top w:val="none" w:sz="0" w:space="0" w:color="auto"/>
        <w:left w:val="none" w:sz="0" w:space="0" w:color="auto"/>
        <w:bottom w:val="none" w:sz="0" w:space="0" w:color="auto"/>
        <w:right w:val="none" w:sz="0" w:space="0" w:color="auto"/>
      </w:divBdr>
    </w:div>
    <w:div w:id="847477410">
      <w:bodyDiv w:val="1"/>
      <w:marLeft w:val="0"/>
      <w:marRight w:val="0"/>
      <w:marTop w:val="0"/>
      <w:marBottom w:val="0"/>
      <w:divBdr>
        <w:top w:val="none" w:sz="0" w:space="0" w:color="auto"/>
        <w:left w:val="none" w:sz="0" w:space="0" w:color="auto"/>
        <w:bottom w:val="none" w:sz="0" w:space="0" w:color="auto"/>
        <w:right w:val="none" w:sz="0" w:space="0" w:color="auto"/>
      </w:divBdr>
    </w:div>
    <w:div w:id="881409074">
      <w:bodyDiv w:val="1"/>
      <w:marLeft w:val="0"/>
      <w:marRight w:val="0"/>
      <w:marTop w:val="0"/>
      <w:marBottom w:val="0"/>
      <w:divBdr>
        <w:top w:val="none" w:sz="0" w:space="0" w:color="auto"/>
        <w:left w:val="none" w:sz="0" w:space="0" w:color="auto"/>
        <w:bottom w:val="none" w:sz="0" w:space="0" w:color="auto"/>
        <w:right w:val="none" w:sz="0" w:space="0" w:color="auto"/>
      </w:divBdr>
      <w:divsChild>
        <w:div w:id="1046562098">
          <w:marLeft w:val="994"/>
          <w:marRight w:val="0"/>
          <w:marTop w:val="0"/>
          <w:marBottom w:val="0"/>
          <w:divBdr>
            <w:top w:val="none" w:sz="0" w:space="0" w:color="auto"/>
            <w:left w:val="none" w:sz="0" w:space="0" w:color="auto"/>
            <w:bottom w:val="none" w:sz="0" w:space="0" w:color="auto"/>
            <w:right w:val="none" w:sz="0" w:space="0" w:color="auto"/>
          </w:divBdr>
        </w:div>
        <w:div w:id="1642418023">
          <w:marLeft w:val="994"/>
          <w:marRight w:val="0"/>
          <w:marTop w:val="0"/>
          <w:marBottom w:val="0"/>
          <w:divBdr>
            <w:top w:val="none" w:sz="0" w:space="0" w:color="auto"/>
            <w:left w:val="none" w:sz="0" w:space="0" w:color="auto"/>
            <w:bottom w:val="none" w:sz="0" w:space="0" w:color="auto"/>
            <w:right w:val="none" w:sz="0" w:space="0" w:color="auto"/>
          </w:divBdr>
        </w:div>
      </w:divsChild>
    </w:div>
    <w:div w:id="897590722">
      <w:bodyDiv w:val="1"/>
      <w:marLeft w:val="0"/>
      <w:marRight w:val="0"/>
      <w:marTop w:val="0"/>
      <w:marBottom w:val="0"/>
      <w:divBdr>
        <w:top w:val="none" w:sz="0" w:space="0" w:color="auto"/>
        <w:left w:val="none" w:sz="0" w:space="0" w:color="auto"/>
        <w:bottom w:val="none" w:sz="0" w:space="0" w:color="auto"/>
        <w:right w:val="none" w:sz="0" w:space="0" w:color="auto"/>
      </w:divBdr>
    </w:div>
    <w:div w:id="907960362">
      <w:bodyDiv w:val="1"/>
      <w:marLeft w:val="0"/>
      <w:marRight w:val="0"/>
      <w:marTop w:val="0"/>
      <w:marBottom w:val="0"/>
      <w:divBdr>
        <w:top w:val="none" w:sz="0" w:space="0" w:color="auto"/>
        <w:left w:val="none" w:sz="0" w:space="0" w:color="auto"/>
        <w:bottom w:val="none" w:sz="0" w:space="0" w:color="auto"/>
        <w:right w:val="none" w:sz="0" w:space="0" w:color="auto"/>
      </w:divBdr>
    </w:div>
    <w:div w:id="913977890">
      <w:bodyDiv w:val="1"/>
      <w:marLeft w:val="0"/>
      <w:marRight w:val="0"/>
      <w:marTop w:val="0"/>
      <w:marBottom w:val="0"/>
      <w:divBdr>
        <w:top w:val="none" w:sz="0" w:space="0" w:color="auto"/>
        <w:left w:val="none" w:sz="0" w:space="0" w:color="auto"/>
        <w:bottom w:val="none" w:sz="0" w:space="0" w:color="auto"/>
        <w:right w:val="none" w:sz="0" w:space="0" w:color="auto"/>
      </w:divBdr>
    </w:div>
    <w:div w:id="920062176">
      <w:bodyDiv w:val="1"/>
      <w:marLeft w:val="0"/>
      <w:marRight w:val="0"/>
      <w:marTop w:val="0"/>
      <w:marBottom w:val="0"/>
      <w:divBdr>
        <w:top w:val="none" w:sz="0" w:space="0" w:color="auto"/>
        <w:left w:val="none" w:sz="0" w:space="0" w:color="auto"/>
        <w:bottom w:val="none" w:sz="0" w:space="0" w:color="auto"/>
        <w:right w:val="none" w:sz="0" w:space="0" w:color="auto"/>
      </w:divBdr>
    </w:div>
    <w:div w:id="921910917">
      <w:bodyDiv w:val="1"/>
      <w:marLeft w:val="0"/>
      <w:marRight w:val="0"/>
      <w:marTop w:val="0"/>
      <w:marBottom w:val="0"/>
      <w:divBdr>
        <w:top w:val="none" w:sz="0" w:space="0" w:color="auto"/>
        <w:left w:val="none" w:sz="0" w:space="0" w:color="auto"/>
        <w:bottom w:val="none" w:sz="0" w:space="0" w:color="auto"/>
        <w:right w:val="none" w:sz="0" w:space="0" w:color="auto"/>
      </w:divBdr>
    </w:div>
    <w:div w:id="968319665">
      <w:bodyDiv w:val="1"/>
      <w:marLeft w:val="0"/>
      <w:marRight w:val="0"/>
      <w:marTop w:val="0"/>
      <w:marBottom w:val="0"/>
      <w:divBdr>
        <w:top w:val="none" w:sz="0" w:space="0" w:color="auto"/>
        <w:left w:val="none" w:sz="0" w:space="0" w:color="auto"/>
        <w:bottom w:val="none" w:sz="0" w:space="0" w:color="auto"/>
        <w:right w:val="none" w:sz="0" w:space="0" w:color="auto"/>
      </w:divBdr>
    </w:div>
    <w:div w:id="970550698">
      <w:bodyDiv w:val="1"/>
      <w:marLeft w:val="0"/>
      <w:marRight w:val="0"/>
      <w:marTop w:val="0"/>
      <w:marBottom w:val="0"/>
      <w:divBdr>
        <w:top w:val="none" w:sz="0" w:space="0" w:color="auto"/>
        <w:left w:val="none" w:sz="0" w:space="0" w:color="auto"/>
        <w:bottom w:val="none" w:sz="0" w:space="0" w:color="auto"/>
        <w:right w:val="none" w:sz="0" w:space="0" w:color="auto"/>
      </w:divBdr>
    </w:div>
    <w:div w:id="978994135">
      <w:bodyDiv w:val="1"/>
      <w:marLeft w:val="0"/>
      <w:marRight w:val="0"/>
      <w:marTop w:val="0"/>
      <w:marBottom w:val="0"/>
      <w:divBdr>
        <w:top w:val="none" w:sz="0" w:space="0" w:color="auto"/>
        <w:left w:val="none" w:sz="0" w:space="0" w:color="auto"/>
        <w:bottom w:val="none" w:sz="0" w:space="0" w:color="auto"/>
        <w:right w:val="none" w:sz="0" w:space="0" w:color="auto"/>
      </w:divBdr>
    </w:div>
    <w:div w:id="1214194482">
      <w:bodyDiv w:val="1"/>
      <w:marLeft w:val="0"/>
      <w:marRight w:val="0"/>
      <w:marTop w:val="0"/>
      <w:marBottom w:val="0"/>
      <w:divBdr>
        <w:top w:val="none" w:sz="0" w:space="0" w:color="auto"/>
        <w:left w:val="none" w:sz="0" w:space="0" w:color="auto"/>
        <w:bottom w:val="none" w:sz="0" w:space="0" w:color="auto"/>
        <w:right w:val="none" w:sz="0" w:space="0" w:color="auto"/>
      </w:divBdr>
    </w:div>
    <w:div w:id="1239360622">
      <w:bodyDiv w:val="1"/>
      <w:marLeft w:val="0"/>
      <w:marRight w:val="0"/>
      <w:marTop w:val="0"/>
      <w:marBottom w:val="0"/>
      <w:divBdr>
        <w:top w:val="none" w:sz="0" w:space="0" w:color="auto"/>
        <w:left w:val="none" w:sz="0" w:space="0" w:color="auto"/>
        <w:bottom w:val="none" w:sz="0" w:space="0" w:color="auto"/>
        <w:right w:val="none" w:sz="0" w:space="0" w:color="auto"/>
      </w:divBdr>
    </w:div>
    <w:div w:id="1257471970">
      <w:bodyDiv w:val="1"/>
      <w:marLeft w:val="0"/>
      <w:marRight w:val="0"/>
      <w:marTop w:val="0"/>
      <w:marBottom w:val="0"/>
      <w:divBdr>
        <w:top w:val="none" w:sz="0" w:space="0" w:color="auto"/>
        <w:left w:val="none" w:sz="0" w:space="0" w:color="auto"/>
        <w:bottom w:val="none" w:sz="0" w:space="0" w:color="auto"/>
        <w:right w:val="none" w:sz="0" w:space="0" w:color="auto"/>
      </w:divBdr>
    </w:div>
    <w:div w:id="1270160520">
      <w:bodyDiv w:val="1"/>
      <w:marLeft w:val="0"/>
      <w:marRight w:val="0"/>
      <w:marTop w:val="0"/>
      <w:marBottom w:val="0"/>
      <w:divBdr>
        <w:top w:val="none" w:sz="0" w:space="0" w:color="auto"/>
        <w:left w:val="none" w:sz="0" w:space="0" w:color="auto"/>
        <w:bottom w:val="none" w:sz="0" w:space="0" w:color="auto"/>
        <w:right w:val="none" w:sz="0" w:space="0" w:color="auto"/>
      </w:divBdr>
    </w:div>
    <w:div w:id="1270427794">
      <w:bodyDiv w:val="1"/>
      <w:marLeft w:val="0"/>
      <w:marRight w:val="0"/>
      <w:marTop w:val="0"/>
      <w:marBottom w:val="0"/>
      <w:divBdr>
        <w:top w:val="none" w:sz="0" w:space="0" w:color="auto"/>
        <w:left w:val="none" w:sz="0" w:space="0" w:color="auto"/>
        <w:bottom w:val="none" w:sz="0" w:space="0" w:color="auto"/>
        <w:right w:val="none" w:sz="0" w:space="0" w:color="auto"/>
      </w:divBdr>
    </w:div>
    <w:div w:id="1277176974">
      <w:bodyDiv w:val="1"/>
      <w:marLeft w:val="0"/>
      <w:marRight w:val="0"/>
      <w:marTop w:val="0"/>
      <w:marBottom w:val="0"/>
      <w:divBdr>
        <w:top w:val="none" w:sz="0" w:space="0" w:color="auto"/>
        <w:left w:val="none" w:sz="0" w:space="0" w:color="auto"/>
        <w:bottom w:val="none" w:sz="0" w:space="0" w:color="auto"/>
        <w:right w:val="none" w:sz="0" w:space="0" w:color="auto"/>
      </w:divBdr>
    </w:div>
    <w:div w:id="1308516737">
      <w:bodyDiv w:val="1"/>
      <w:marLeft w:val="0"/>
      <w:marRight w:val="0"/>
      <w:marTop w:val="0"/>
      <w:marBottom w:val="0"/>
      <w:divBdr>
        <w:top w:val="none" w:sz="0" w:space="0" w:color="auto"/>
        <w:left w:val="none" w:sz="0" w:space="0" w:color="auto"/>
        <w:bottom w:val="none" w:sz="0" w:space="0" w:color="auto"/>
        <w:right w:val="none" w:sz="0" w:space="0" w:color="auto"/>
      </w:divBdr>
    </w:div>
    <w:div w:id="1316882019">
      <w:bodyDiv w:val="1"/>
      <w:marLeft w:val="0"/>
      <w:marRight w:val="0"/>
      <w:marTop w:val="0"/>
      <w:marBottom w:val="0"/>
      <w:divBdr>
        <w:top w:val="none" w:sz="0" w:space="0" w:color="auto"/>
        <w:left w:val="none" w:sz="0" w:space="0" w:color="auto"/>
        <w:bottom w:val="none" w:sz="0" w:space="0" w:color="auto"/>
        <w:right w:val="none" w:sz="0" w:space="0" w:color="auto"/>
      </w:divBdr>
    </w:div>
    <w:div w:id="1323964881">
      <w:bodyDiv w:val="1"/>
      <w:marLeft w:val="0"/>
      <w:marRight w:val="0"/>
      <w:marTop w:val="0"/>
      <w:marBottom w:val="0"/>
      <w:divBdr>
        <w:top w:val="none" w:sz="0" w:space="0" w:color="auto"/>
        <w:left w:val="none" w:sz="0" w:space="0" w:color="auto"/>
        <w:bottom w:val="none" w:sz="0" w:space="0" w:color="auto"/>
        <w:right w:val="none" w:sz="0" w:space="0" w:color="auto"/>
      </w:divBdr>
    </w:div>
    <w:div w:id="1378166639">
      <w:bodyDiv w:val="1"/>
      <w:marLeft w:val="0"/>
      <w:marRight w:val="0"/>
      <w:marTop w:val="0"/>
      <w:marBottom w:val="0"/>
      <w:divBdr>
        <w:top w:val="none" w:sz="0" w:space="0" w:color="auto"/>
        <w:left w:val="none" w:sz="0" w:space="0" w:color="auto"/>
        <w:bottom w:val="none" w:sz="0" w:space="0" w:color="auto"/>
        <w:right w:val="none" w:sz="0" w:space="0" w:color="auto"/>
      </w:divBdr>
    </w:div>
    <w:div w:id="1398354416">
      <w:bodyDiv w:val="1"/>
      <w:marLeft w:val="0"/>
      <w:marRight w:val="0"/>
      <w:marTop w:val="0"/>
      <w:marBottom w:val="0"/>
      <w:divBdr>
        <w:top w:val="none" w:sz="0" w:space="0" w:color="auto"/>
        <w:left w:val="none" w:sz="0" w:space="0" w:color="auto"/>
        <w:bottom w:val="none" w:sz="0" w:space="0" w:color="auto"/>
        <w:right w:val="none" w:sz="0" w:space="0" w:color="auto"/>
      </w:divBdr>
    </w:div>
    <w:div w:id="1427773878">
      <w:bodyDiv w:val="1"/>
      <w:marLeft w:val="0"/>
      <w:marRight w:val="0"/>
      <w:marTop w:val="0"/>
      <w:marBottom w:val="0"/>
      <w:divBdr>
        <w:top w:val="none" w:sz="0" w:space="0" w:color="auto"/>
        <w:left w:val="none" w:sz="0" w:space="0" w:color="auto"/>
        <w:bottom w:val="none" w:sz="0" w:space="0" w:color="auto"/>
        <w:right w:val="none" w:sz="0" w:space="0" w:color="auto"/>
      </w:divBdr>
    </w:div>
    <w:div w:id="1428311880">
      <w:bodyDiv w:val="1"/>
      <w:marLeft w:val="0"/>
      <w:marRight w:val="0"/>
      <w:marTop w:val="0"/>
      <w:marBottom w:val="0"/>
      <w:divBdr>
        <w:top w:val="none" w:sz="0" w:space="0" w:color="auto"/>
        <w:left w:val="none" w:sz="0" w:space="0" w:color="auto"/>
        <w:bottom w:val="none" w:sz="0" w:space="0" w:color="auto"/>
        <w:right w:val="none" w:sz="0" w:space="0" w:color="auto"/>
      </w:divBdr>
    </w:div>
    <w:div w:id="1430390727">
      <w:bodyDiv w:val="1"/>
      <w:marLeft w:val="0"/>
      <w:marRight w:val="0"/>
      <w:marTop w:val="0"/>
      <w:marBottom w:val="0"/>
      <w:divBdr>
        <w:top w:val="none" w:sz="0" w:space="0" w:color="auto"/>
        <w:left w:val="none" w:sz="0" w:space="0" w:color="auto"/>
        <w:bottom w:val="none" w:sz="0" w:space="0" w:color="auto"/>
        <w:right w:val="none" w:sz="0" w:space="0" w:color="auto"/>
      </w:divBdr>
    </w:div>
    <w:div w:id="1447768522">
      <w:bodyDiv w:val="1"/>
      <w:marLeft w:val="0"/>
      <w:marRight w:val="0"/>
      <w:marTop w:val="0"/>
      <w:marBottom w:val="0"/>
      <w:divBdr>
        <w:top w:val="none" w:sz="0" w:space="0" w:color="auto"/>
        <w:left w:val="none" w:sz="0" w:space="0" w:color="auto"/>
        <w:bottom w:val="none" w:sz="0" w:space="0" w:color="auto"/>
        <w:right w:val="none" w:sz="0" w:space="0" w:color="auto"/>
      </w:divBdr>
      <w:divsChild>
        <w:div w:id="211163570">
          <w:marLeft w:val="274"/>
          <w:marRight w:val="0"/>
          <w:marTop w:val="0"/>
          <w:marBottom w:val="0"/>
          <w:divBdr>
            <w:top w:val="none" w:sz="0" w:space="0" w:color="auto"/>
            <w:left w:val="none" w:sz="0" w:space="0" w:color="auto"/>
            <w:bottom w:val="none" w:sz="0" w:space="0" w:color="auto"/>
            <w:right w:val="none" w:sz="0" w:space="0" w:color="auto"/>
          </w:divBdr>
        </w:div>
        <w:div w:id="446774666">
          <w:marLeft w:val="274"/>
          <w:marRight w:val="0"/>
          <w:marTop w:val="0"/>
          <w:marBottom w:val="0"/>
          <w:divBdr>
            <w:top w:val="none" w:sz="0" w:space="0" w:color="auto"/>
            <w:left w:val="none" w:sz="0" w:space="0" w:color="auto"/>
            <w:bottom w:val="none" w:sz="0" w:space="0" w:color="auto"/>
            <w:right w:val="none" w:sz="0" w:space="0" w:color="auto"/>
          </w:divBdr>
        </w:div>
        <w:div w:id="1118181179">
          <w:marLeft w:val="274"/>
          <w:marRight w:val="0"/>
          <w:marTop w:val="0"/>
          <w:marBottom w:val="0"/>
          <w:divBdr>
            <w:top w:val="none" w:sz="0" w:space="0" w:color="auto"/>
            <w:left w:val="none" w:sz="0" w:space="0" w:color="auto"/>
            <w:bottom w:val="none" w:sz="0" w:space="0" w:color="auto"/>
            <w:right w:val="none" w:sz="0" w:space="0" w:color="auto"/>
          </w:divBdr>
        </w:div>
        <w:div w:id="1994329104">
          <w:marLeft w:val="274"/>
          <w:marRight w:val="0"/>
          <w:marTop w:val="0"/>
          <w:marBottom w:val="0"/>
          <w:divBdr>
            <w:top w:val="none" w:sz="0" w:space="0" w:color="auto"/>
            <w:left w:val="none" w:sz="0" w:space="0" w:color="auto"/>
            <w:bottom w:val="none" w:sz="0" w:space="0" w:color="auto"/>
            <w:right w:val="none" w:sz="0" w:space="0" w:color="auto"/>
          </w:divBdr>
        </w:div>
      </w:divsChild>
    </w:div>
    <w:div w:id="1450785403">
      <w:bodyDiv w:val="1"/>
      <w:marLeft w:val="0"/>
      <w:marRight w:val="0"/>
      <w:marTop w:val="0"/>
      <w:marBottom w:val="0"/>
      <w:divBdr>
        <w:top w:val="none" w:sz="0" w:space="0" w:color="auto"/>
        <w:left w:val="none" w:sz="0" w:space="0" w:color="auto"/>
        <w:bottom w:val="none" w:sz="0" w:space="0" w:color="auto"/>
        <w:right w:val="none" w:sz="0" w:space="0" w:color="auto"/>
      </w:divBdr>
    </w:div>
    <w:div w:id="1484467432">
      <w:bodyDiv w:val="1"/>
      <w:marLeft w:val="0"/>
      <w:marRight w:val="0"/>
      <w:marTop w:val="0"/>
      <w:marBottom w:val="0"/>
      <w:divBdr>
        <w:top w:val="none" w:sz="0" w:space="0" w:color="auto"/>
        <w:left w:val="none" w:sz="0" w:space="0" w:color="auto"/>
        <w:bottom w:val="none" w:sz="0" w:space="0" w:color="auto"/>
        <w:right w:val="none" w:sz="0" w:space="0" w:color="auto"/>
      </w:divBdr>
    </w:div>
    <w:div w:id="1552376213">
      <w:bodyDiv w:val="1"/>
      <w:marLeft w:val="0"/>
      <w:marRight w:val="0"/>
      <w:marTop w:val="0"/>
      <w:marBottom w:val="0"/>
      <w:divBdr>
        <w:top w:val="none" w:sz="0" w:space="0" w:color="auto"/>
        <w:left w:val="none" w:sz="0" w:space="0" w:color="auto"/>
        <w:bottom w:val="none" w:sz="0" w:space="0" w:color="auto"/>
        <w:right w:val="none" w:sz="0" w:space="0" w:color="auto"/>
      </w:divBdr>
    </w:div>
    <w:div w:id="1591427384">
      <w:bodyDiv w:val="1"/>
      <w:marLeft w:val="0"/>
      <w:marRight w:val="0"/>
      <w:marTop w:val="0"/>
      <w:marBottom w:val="0"/>
      <w:divBdr>
        <w:top w:val="none" w:sz="0" w:space="0" w:color="auto"/>
        <w:left w:val="none" w:sz="0" w:space="0" w:color="auto"/>
        <w:bottom w:val="none" w:sz="0" w:space="0" w:color="auto"/>
        <w:right w:val="none" w:sz="0" w:space="0" w:color="auto"/>
      </w:divBdr>
    </w:div>
    <w:div w:id="1603802731">
      <w:bodyDiv w:val="1"/>
      <w:marLeft w:val="0"/>
      <w:marRight w:val="0"/>
      <w:marTop w:val="0"/>
      <w:marBottom w:val="0"/>
      <w:divBdr>
        <w:top w:val="none" w:sz="0" w:space="0" w:color="auto"/>
        <w:left w:val="none" w:sz="0" w:space="0" w:color="auto"/>
        <w:bottom w:val="none" w:sz="0" w:space="0" w:color="auto"/>
        <w:right w:val="none" w:sz="0" w:space="0" w:color="auto"/>
      </w:divBdr>
      <w:divsChild>
        <w:div w:id="334845974">
          <w:marLeft w:val="274"/>
          <w:marRight w:val="0"/>
          <w:marTop w:val="0"/>
          <w:marBottom w:val="0"/>
          <w:divBdr>
            <w:top w:val="none" w:sz="0" w:space="0" w:color="auto"/>
            <w:left w:val="none" w:sz="0" w:space="0" w:color="auto"/>
            <w:bottom w:val="none" w:sz="0" w:space="0" w:color="auto"/>
            <w:right w:val="none" w:sz="0" w:space="0" w:color="auto"/>
          </w:divBdr>
        </w:div>
      </w:divsChild>
    </w:div>
    <w:div w:id="1604338752">
      <w:bodyDiv w:val="1"/>
      <w:marLeft w:val="0"/>
      <w:marRight w:val="0"/>
      <w:marTop w:val="0"/>
      <w:marBottom w:val="0"/>
      <w:divBdr>
        <w:top w:val="none" w:sz="0" w:space="0" w:color="auto"/>
        <w:left w:val="none" w:sz="0" w:space="0" w:color="auto"/>
        <w:bottom w:val="none" w:sz="0" w:space="0" w:color="auto"/>
        <w:right w:val="none" w:sz="0" w:space="0" w:color="auto"/>
      </w:divBdr>
    </w:div>
    <w:div w:id="1636058480">
      <w:bodyDiv w:val="1"/>
      <w:marLeft w:val="0"/>
      <w:marRight w:val="0"/>
      <w:marTop w:val="0"/>
      <w:marBottom w:val="0"/>
      <w:divBdr>
        <w:top w:val="none" w:sz="0" w:space="0" w:color="auto"/>
        <w:left w:val="none" w:sz="0" w:space="0" w:color="auto"/>
        <w:bottom w:val="none" w:sz="0" w:space="0" w:color="auto"/>
        <w:right w:val="none" w:sz="0" w:space="0" w:color="auto"/>
      </w:divBdr>
    </w:div>
    <w:div w:id="1656763703">
      <w:bodyDiv w:val="1"/>
      <w:marLeft w:val="0"/>
      <w:marRight w:val="0"/>
      <w:marTop w:val="0"/>
      <w:marBottom w:val="0"/>
      <w:divBdr>
        <w:top w:val="none" w:sz="0" w:space="0" w:color="auto"/>
        <w:left w:val="none" w:sz="0" w:space="0" w:color="auto"/>
        <w:bottom w:val="none" w:sz="0" w:space="0" w:color="auto"/>
        <w:right w:val="none" w:sz="0" w:space="0" w:color="auto"/>
      </w:divBdr>
    </w:div>
    <w:div w:id="1658532329">
      <w:bodyDiv w:val="1"/>
      <w:marLeft w:val="0"/>
      <w:marRight w:val="0"/>
      <w:marTop w:val="0"/>
      <w:marBottom w:val="0"/>
      <w:divBdr>
        <w:top w:val="none" w:sz="0" w:space="0" w:color="auto"/>
        <w:left w:val="none" w:sz="0" w:space="0" w:color="auto"/>
        <w:bottom w:val="none" w:sz="0" w:space="0" w:color="auto"/>
        <w:right w:val="none" w:sz="0" w:space="0" w:color="auto"/>
      </w:divBdr>
    </w:div>
    <w:div w:id="1687367198">
      <w:bodyDiv w:val="1"/>
      <w:marLeft w:val="0"/>
      <w:marRight w:val="0"/>
      <w:marTop w:val="0"/>
      <w:marBottom w:val="0"/>
      <w:divBdr>
        <w:top w:val="none" w:sz="0" w:space="0" w:color="auto"/>
        <w:left w:val="none" w:sz="0" w:space="0" w:color="auto"/>
        <w:bottom w:val="none" w:sz="0" w:space="0" w:color="auto"/>
        <w:right w:val="none" w:sz="0" w:space="0" w:color="auto"/>
      </w:divBdr>
    </w:div>
    <w:div w:id="1701273817">
      <w:bodyDiv w:val="1"/>
      <w:marLeft w:val="0"/>
      <w:marRight w:val="0"/>
      <w:marTop w:val="0"/>
      <w:marBottom w:val="0"/>
      <w:divBdr>
        <w:top w:val="none" w:sz="0" w:space="0" w:color="auto"/>
        <w:left w:val="none" w:sz="0" w:space="0" w:color="auto"/>
        <w:bottom w:val="none" w:sz="0" w:space="0" w:color="auto"/>
        <w:right w:val="none" w:sz="0" w:space="0" w:color="auto"/>
      </w:divBdr>
    </w:div>
    <w:div w:id="1728331441">
      <w:bodyDiv w:val="1"/>
      <w:marLeft w:val="0"/>
      <w:marRight w:val="0"/>
      <w:marTop w:val="0"/>
      <w:marBottom w:val="0"/>
      <w:divBdr>
        <w:top w:val="none" w:sz="0" w:space="0" w:color="auto"/>
        <w:left w:val="none" w:sz="0" w:space="0" w:color="auto"/>
        <w:bottom w:val="none" w:sz="0" w:space="0" w:color="auto"/>
        <w:right w:val="none" w:sz="0" w:space="0" w:color="auto"/>
      </w:divBdr>
    </w:div>
    <w:div w:id="1735736860">
      <w:bodyDiv w:val="1"/>
      <w:marLeft w:val="0"/>
      <w:marRight w:val="0"/>
      <w:marTop w:val="0"/>
      <w:marBottom w:val="0"/>
      <w:divBdr>
        <w:top w:val="none" w:sz="0" w:space="0" w:color="auto"/>
        <w:left w:val="none" w:sz="0" w:space="0" w:color="auto"/>
        <w:bottom w:val="none" w:sz="0" w:space="0" w:color="auto"/>
        <w:right w:val="none" w:sz="0" w:space="0" w:color="auto"/>
      </w:divBdr>
    </w:div>
    <w:div w:id="1822578274">
      <w:bodyDiv w:val="1"/>
      <w:marLeft w:val="0"/>
      <w:marRight w:val="0"/>
      <w:marTop w:val="0"/>
      <w:marBottom w:val="0"/>
      <w:divBdr>
        <w:top w:val="none" w:sz="0" w:space="0" w:color="auto"/>
        <w:left w:val="none" w:sz="0" w:space="0" w:color="auto"/>
        <w:bottom w:val="none" w:sz="0" w:space="0" w:color="auto"/>
        <w:right w:val="none" w:sz="0" w:space="0" w:color="auto"/>
      </w:divBdr>
    </w:div>
    <w:div w:id="1879656528">
      <w:bodyDiv w:val="1"/>
      <w:marLeft w:val="0"/>
      <w:marRight w:val="0"/>
      <w:marTop w:val="0"/>
      <w:marBottom w:val="0"/>
      <w:divBdr>
        <w:top w:val="none" w:sz="0" w:space="0" w:color="auto"/>
        <w:left w:val="none" w:sz="0" w:space="0" w:color="auto"/>
        <w:bottom w:val="none" w:sz="0" w:space="0" w:color="auto"/>
        <w:right w:val="none" w:sz="0" w:space="0" w:color="auto"/>
      </w:divBdr>
    </w:div>
    <w:div w:id="1947540159">
      <w:bodyDiv w:val="1"/>
      <w:marLeft w:val="0"/>
      <w:marRight w:val="0"/>
      <w:marTop w:val="0"/>
      <w:marBottom w:val="0"/>
      <w:divBdr>
        <w:top w:val="none" w:sz="0" w:space="0" w:color="auto"/>
        <w:left w:val="none" w:sz="0" w:space="0" w:color="auto"/>
        <w:bottom w:val="none" w:sz="0" w:space="0" w:color="auto"/>
        <w:right w:val="none" w:sz="0" w:space="0" w:color="auto"/>
      </w:divBdr>
      <w:divsChild>
        <w:div w:id="46031037">
          <w:marLeft w:val="274"/>
          <w:marRight w:val="0"/>
          <w:marTop w:val="0"/>
          <w:marBottom w:val="0"/>
          <w:divBdr>
            <w:top w:val="none" w:sz="0" w:space="0" w:color="auto"/>
            <w:left w:val="none" w:sz="0" w:space="0" w:color="auto"/>
            <w:bottom w:val="none" w:sz="0" w:space="0" w:color="auto"/>
            <w:right w:val="none" w:sz="0" w:space="0" w:color="auto"/>
          </w:divBdr>
        </w:div>
        <w:div w:id="908273276">
          <w:marLeft w:val="288"/>
          <w:marRight w:val="0"/>
          <w:marTop w:val="0"/>
          <w:marBottom w:val="0"/>
          <w:divBdr>
            <w:top w:val="none" w:sz="0" w:space="0" w:color="auto"/>
            <w:left w:val="none" w:sz="0" w:space="0" w:color="auto"/>
            <w:bottom w:val="none" w:sz="0" w:space="0" w:color="auto"/>
            <w:right w:val="none" w:sz="0" w:space="0" w:color="auto"/>
          </w:divBdr>
        </w:div>
      </w:divsChild>
    </w:div>
    <w:div w:id="1984768665">
      <w:bodyDiv w:val="1"/>
      <w:marLeft w:val="0"/>
      <w:marRight w:val="0"/>
      <w:marTop w:val="0"/>
      <w:marBottom w:val="0"/>
      <w:divBdr>
        <w:top w:val="none" w:sz="0" w:space="0" w:color="auto"/>
        <w:left w:val="none" w:sz="0" w:space="0" w:color="auto"/>
        <w:bottom w:val="none" w:sz="0" w:space="0" w:color="auto"/>
        <w:right w:val="none" w:sz="0" w:space="0" w:color="auto"/>
      </w:divBdr>
    </w:div>
    <w:div w:id="1995796396">
      <w:bodyDiv w:val="1"/>
      <w:marLeft w:val="0"/>
      <w:marRight w:val="0"/>
      <w:marTop w:val="0"/>
      <w:marBottom w:val="0"/>
      <w:divBdr>
        <w:top w:val="none" w:sz="0" w:space="0" w:color="auto"/>
        <w:left w:val="none" w:sz="0" w:space="0" w:color="auto"/>
        <w:bottom w:val="none" w:sz="0" w:space="0" w:color="auto"/>
        <w:right w:val="none" w:sz="0" w:space="0" w:color="auto"/>
      </w:divBdr>
    </w:div>
    <w:div w:id="2111119717">
      <w:bodyDiv w:val="1"/>
      <w:marLeft w:val="0"/>
      <w:marRight w:val="0"/>
      <w:marTop w:val="0"/>
      <w:marBottom w:val="0"/>
      <w:divBdr>
        <w:top w:val="none" w:sz="0" w:space="0" w:color="auto"/>
        <w:left w:val="none" w:sz="0" w:space="0" w:color="auto"/>
        <w:bottom w:val="none" w:sz="0" w:space="0" w:color="auto"/>
        <w:right w:val="none" w:sz="0" w:space="0" w:color="auto"/>
      </w:divBdr>
      <w:divsChild>
        <w:div w:id="1115444527">
          <w:marLeft w:val="274"/>
          <w:marRight w:val="0"/>
          <w:marTop w:val="0"/>
          <w:marBottom w:val="0"/>
          <w:divBdr>
            <w:top w:val="none" w:sz="0" w:space="0" w:color="auto"/>
            <w:left w:val="none" w:sz="0" w:space="0" w:color="auto"/>
            <w:bottom w:val="none" w:sz="0" w:space="0" w:color="auto"/>
            <w:right w:val="none" w:sz="0" w:space="0" w:color="auto"/>
          </w:divBdr>
        </w:div>
        <w:div w:id="1427267300">
          <w:marLeft w:val="274"/>
          <w:marRight w:val="0"/>
          <w:marTop w:val="0"/>
          <w:marBottom w:val="0"/>
          <w:divBdr>
            <w:top w:val="none" w:sz="0" w:space="0" w:color="auto"/>
            <w:left w:val="none" w:sz="0" w:space="0" w:color="auto"/>
            <w:bottom w:val="none" w:sz="0" w:space="0" w:color="auto"/>
            <w:right w:val="none" w:sz="0" w:space="0" w:color="auto"/>
          </w:divBdr>
        </w:div>
      </w:divsChild>
    </w:div>
    <w:div w:id="2116056398">
      <w:bodyDiv w:val="1"/>
      <w:marLeft w:val="0"/>
      <w:marRight w:val="0"/>
      <w:marTop w:val="0"/>
      <w:marBottom w:val="0"/>
      <w:divBdr>
        <w:top w:val="none" w:sz="0" w:space="0" w:color="auto"/>
        <w:left w:val="none" w:sz="0" w:space="0" w:color="auto"/>
        <w:bottom w:val="none" w:sz="0" w:space="0" w:color="auto"/>
        <w:right w:val="none" w:sz="0" w:space="0" w:color="auto"/>
      </w:divBdr>
    </w:div>
    <w:div w:id="213937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32BB4-9E71-4383-BD90-E1004251D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16890</Words>
  <Characters>92898</Characters>
  <Application>Microsoft Office Word</Application>
  <DocSecurity>0</DocSecurity>
  <Lines>774</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Roldan</dc:creator>
  <cp:keywords/>
  <dc:description/>
  <cp:lastModifiedBy>LEIDY VIVIANA ROLDAN BOLIVAR</cp:lastModifiedBy>
  <cp:revision>4</cp:revision>
  <cp:lastPrinted>2018-09-06T00:14:00Z</cp:lastPrinted>
  <dcterms:created xsi:type="dcterms:W3CDTF">2018-10-10T20:04:00Z</dcterms:created>
  <dcterms:modified xsi:type="dcterms:W3CDTF">2019-02-08T16:30:00Z</dcterms:modified>
</cp:coreProperties>
</file>